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74EE9C">
      <w:pPr>
        <w:spacing w:line="360" w:lineRule="auto"/>
        <w:ind w:firstLine="560"/>
        <w:jc w:val="center"/>
        <w:rPr>
          <w:rFonts w:hint="eastAsia" w:ascii="宋体" w:hAnsi="宋体"/>
          <w:b/>
          <w:bCs/>
          <w:sz w:val="36"/>
          <w:szCs w:val="36"/>
        </w:rPr>
      </w:pPr>
      <w:r>
        <w:rPr>
          <w:rFonts w:hint="eastAsia" w:ascii="宋体" w:hAnsi="宋体"/>
          <w:b/>
          <w:bCs/>
          <w:sz w:val="36"/>
          <w:szCs w:val="36"/>
        </w:rPr>
        <w:t>远东智慧能源股份有限公司</w:t>
      </w:r>
    </w:p>
    <w:p w14:paraId="5300EEBE">
      <w:pPr>
        <w:spacing w:line="360" w:lineRule="auto"/>
        <w:ind w:firstLine="560"/>
        <w:jc w:val="center"/>
        <w:rPr>
          <w:rFonts w:hint="eastAsia" w:ascii="宋体" w:hAnsi="宋体"/>
          <w:b/>
          <w:bCs/>
          <w:sz w:val="36"/>
          <w:szCs w:val="36"/>
          <w:u w:val="double"/>
          <w:lang w:val="zh-CN"/>
        </w:rPr>
      </w:pPr>
      <w:r>
        <w:rPr>
          <w:rFonts w:hint="eastAsia" w:ascii="宋体" w:hAnsi="宋体"/>
          <w:b/>
          <w:bCs/>
          <w:sz w:val="36"/>
          <w:szCs w:val="36"/>
        </w:rPr>
        <w:t>旗下子公司—</w:t>
      </w:r>
      <w:r>
        <w:rPr>
          <w:rFonts w:hint="eastAsia" w:ascii="宋体" w:hAnsi="宋体"/>
          <w:b/>
          <w:bCs/>
          <w:sz w:val="36"/>
          <w:szCs w:val="36"/>
          <w:u w:val="double"/>
          <w:lang w:val="zh-CN"/>
        </w:rPr>
        <w:t>远东</w:t>
      </w:r>
      <w:r>
        <w:rPr>
          <w:rFonts w:hint="eastAsia" w:ascii="宋体" w:hAnsi="宋体"/>
          <w:b/>
          <w:bCs/>
          <w:sz w:val="36"/>
          <w:szCs w:val="36"/>
          <w:u w:val="double"/>
        </w:rPr>
        <w:t>海缆</w:t>
      </w:r>
      <w:r>
        <w:rPr>
          <w:rFonts w:hint="eastAsia" w:ascii="宋体" w:hAnsi="宋体"/>
          <w:b/>
          <w:bCs/>
          <w:sz w:val="36"/>
          <w:szCs w:val="36"/>
          <w:u w:val="double"/>
          <w:lang w:val="zh-CN"/>
        </w:rPr>
        <w:t>有限公司</w:t>
      </w:r>
    </w:p>
    <w:p w14:paraId="7B9DE1F7">
      <w:pPr>
        <w:spacing w:line="360" w:lineRule="auto"/>
        <w:ind w:firstLine="560"/>
        <w:jc w:val="center"/>
        <w:rPr>
          <w:rFonts w:hint="eastAsia" w:ascii="宋体" w:hAnsi="宋体"/>
          <w:b/>
          <w:bCs/>
          <w:sz w:val="36"/>
          <w:szCs w:val="36"/>
          <w:u w:val="single"/>
        </w:rPr>
      </w:pPr>
      <w:r>
        <w:rPr>
          <w:rFonts w:hint="eastAsia" w:ascii="宋体" w:hAnsi="宋体"/>
          <w:b/>
          <w:bCs/>
          <w:sz w:val="36"/>
          <w:szCs w:val="36"/>
          <w:u w:val="single"/>
        </w:rPr>
        <w:t>±535kV电缆附件招标书</w:t>
      </w:r>
    </w:p>
    <w:p w14:paraId="5B30D514">
      <w:pPr>
        <w:spacing w:line="600" w:lineRule="exact"/>
        <w:ind w:firstLine="2800" w:firstLineChars="1000"/>
        <w:rPr>
          <w:rFonts w:hint="eastAsia" w:ascii="宋体" w:hAnsi="宋体"/>
          <w:sz w:val="28"/>
          <w:szCs w:val="28"/>
        </w:rPr>
      </w:pPr>
      <w:r>
        <w:rPr>
          <w:rFonts w:hint="eastAsia" w:ascii="宋体" w:hAnsi="宋体"/>
          <w:sz w:val="28"/>
          <w:szCs w:val="28"/>
        </w:rPr>
        <w:t>招标书编号：</w:t>
      </w:r>
      <w:r>
        <w:rPr>
          <w:rFonts w:ascii="宋体" w:hAnsi="宋体"/>
          <w:sz w:val="28"/>
          <w:szCs w:val="28"/>
        </w:rPr>
        <w:t>202</w:t>
      </w:r>
      <w:r>
        <w:rPr>
          <w:rFonts w:hint="eastAsia" w:ascii="宋体" w:hAnsi="宋体"/>
          <w:sz w:val="28"/>
          <w:szCs w:val="28"/>
        </w:rPr>
        <w:t>603</w:t>
      </w:r>
      <w:r>
        <w:rPr>
          <w:rFonts w:hint="eastAsia" w:ascii="宋体" w:hAnsi="宋体"/>
          <w:sz w:val="28"/>
          <w:szCs w:val="28"/>
          <w:lang w:val="en-US" w:eastAsia="zh-CN"/>
        </w:rPr>
        <w:t>25</w:t>
      </w:r>
      <w:r>
        <w:rPr>
          <w:rFonts w:hint="eastAsia" w:ascii="宋体" w:hAnsi="宋体"/>
          <w:sz w:val="28"/>
          <w:szCs w:val="28"/>
        </w:rPr>
        <w:t>001</w:t>
      </w:r>
    </w:p>
    <w:p w14:paraId="53715BD7">
      <w:pPr>
        <w:spacing w:line="420" w:lineRule="exact"/>
        <w:rPr>
          <w:rFonts w:hint="eastAsia" w:ascii="等线" w:hAnsi="等线" w:eastAsia="等线"/>
          <w:b/>
          <w:bCs/>
          <w:color w:val="0070C0"/>
          <w:szCs w:val="21"/>
        </w:rPr>
      </w:pPr>
      <w:r>
        <w:rPr>
          <w:rFonts w:hint="eastAsia" w:ascii="等线" w:hAnsi="等线" w:eastAsia="等线"/>
          <w:b/>
          <w:bCs/>
          <w:color w:val="0070C0"/>
          <w:szCs w:val="21"/>
        </w:rPr>
        <w:t>一、概述</w:t>
      </w:r>
    </w:p>
    <w:p w14:paraId="08836DC5">
      <w:pPr>
        <w:tabs>
          <w:tab w:val="left" w:pos="0"/>
        </w:tabs>
        <w:spacing w:line="300" w:lineRule="auto"/>
        <w:ind w:firstLine="420" w:firstLineChars="200"/>
        <w:rPr>
          <w:rFonts w:hint="eastAsia" w:ascii="宋体" w:hAnsi="宋体" w:cs="宋体"/>
          <w:szCs w:val="21"/>
        </w:rPr>
      </w:pPr>
      <w:r>
        <w:rPr>
          <w:rFonts w:hint="eastAsia" w:ascii="宋体" w:hAnsi="宋体" w:cs="宋体"/>
          <w:szCs w:val="21"/>
        </w:rPr>
        <w:t>远东海缆有限公司，地址：南通市如东县洋口港，本次招标采购内容为±535kV电缆附件，投标方应根据招标文件所提出的技术规格和质量要求，综合考虑适用性与可靠性，提供具有最佳性能价格比的产品前来投标。</w:t>
      </w:r>
    </w:p>
    <w:p w14:paraId="2E1A3A22">
      <w:pPr>
        <w:spacing w:line="420" w:lineRule="exact"/>
        <w:ind w:firstLine="472" w:firstLineChars="225"/>
        <w:jc w:val="left"/>
        <w:rPr>
          <w:rFonts w:hint="eastAsia" w:ascii="等线" w:hAnsi="等线" w:eastAsia="等线"/>
          <w:szCs w:val="21"/>
        </w:rPr>
      </w:pPr>
      <w:bookmarkStart w:id="1" w:name="_GoBack"/>
      <w:bookmarkEnd w:id="1"/>
    </w:p>
    <w:p w14:paraId="22A1AC87">
      <w:pPr>
        <w:spacing w:line="420" w:lineRule="exact"/>
        <w:jc w:val="left"/>
        <w:rPr>
          <w:rFonts w:hint="eastAsia" w:ascii="等线" w:hAnsi="等线" w:eastAsia="等线"/>
          <w:b/>
          <w:bCs/>
          <w:color w:val="0070C0"/>
          <w:szCs w:val="21"/>
        </w:rPr>
      </w:pPr>
      <w:r>
        <w:rPr>
          <w:rFonts w:hint="eastAsia" w:ascii="等线" w:hAnsi="等线" w:eastAsia="等线"/>
          <w:b/>
          <w:bCs/>
          <w:color w:val="0070C0"/>
          <w:szCs w:val="21"/>
        </w:rPr>
        <w:t>二、招标产品名称、型号、数量</w:t>
      </w:r>
    </w:p>
    <w:tbl>
      <w:tblPr>
        <w:tblStyle w:val="17"/>
        <w:tblW w:w="9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6"/>
        <w:gridCol w:w="2984"/>
        <w:gridCol w:w="1795"/>
      </w:tblGrid>
      <w:tr w14:paraId="4F322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46" w:type="dxa"/>
            <w:tcBorders>
              <w:top w:val="single" w:color="auto" w:sz="4" w:space="0"/>
              <w:left w:val="single" w:color="auto" w:sz="4" w:space="0"/>
              <w:bottom w:val="single" w:color="auto" w:sz="4" w:space="0"/>
              <w:right w:val="single" w:color="auto" w:sz="4" w:space="0"/>
            </w:tcBorders>
            <w:vAlign w:val="center"/>
          </w:tcPr>
          <w:p w14:paraId="3658B63E">
            <w:pPr>
              <w:spacing w:line="420" w:lineRule="exact"/>
              <w:ind w:firstLine="420"/>
              <w:jc w:val="center"/>
              <w:rPr>
                <w:rFonts w:ascii="等线" w:hAnsi="等线" w:eastAsia="等线"/>
                <w:b/>
                <w:bCs/>
                <w:szCs w:val="21"/>
              </w:rPr>
            </w:pPr>
            <w:r>
              <w:rPr>
                <w:rFonts w:hint="eastAsia" w:ascii="等线" w:hAnsi="等线" w:eastAsia="等线"/>
                <w:b/>
                <w:bCs/>
                <w:szCs w:val="21"/>
              </w:rPr>
              <w:t>物料名称</w:t>
            </w:r>
          </w:p>
        </w:tc>
        <w:tc>
          <w:tcPr>
            <w:tcW w:w="2984" w:type="dxa"/>
            <w:tcBorders>
              <w:top w:val="single" w:color="auto" w:sz="4" w:space="0"/>
              <w:left w:val="single" w:color="auto" w:sz="4" w:space="0"/>
              <w:bottom w:val="single" w:color="auto" w:sz="4" w:space="0"/>
              <w:right w:val="single" w:color="auto" w:sz="4" w:space="0"/>
            </w:tcBorders>
            <w:vAlign w:val="center"/>
          </w:tcPr>
          <w:p w14:paraId="04543B79">
            <w:pPr>
              <w:spacing w:line="420" w:lineRule="exact"/>
              <w:ind w:firstLine="420"/>
              <w:jc w:val="center"/>
              <w:rPr>
                <w:rFonts w:ascii="等线" w:hAnsi="等线" w:eastAsia="等线"/>
                <w:b/>
                <w:bCs/>
                <w:szCs w:val="21"/>
              </w:rPr>
            </w:pPr>
            <w:r>
              <w:rPr>
                <w:rFonts w:hint="eastAsia" w:ascii="等线" w:hAnsi="等线" w:eastAsia="等线"/>
                <w:b/>
                <w:bCs/>
                <w:szCs w:val="21"/>
              </w:rPr>
              <w:t>型号规格</w:t>
            </w:r>
          </w:p>
        </w:tc>
        <w:tc>
          <w:tcPr>
            <w:tcW w:w="1795" w:type="dxa"/>
            <w:tcBorders>
              <w:top w:val="single" w:color="auto" w:sz="4" w:space="0"/>
              <w:left w:val="single" w:color="auto" w:sz="4" w:space="0"/>
              <w:bottom w:val="single" w:color="auto" w:sz="4" w:space="0"/>
              <w:right w:val="single" w:color="auto" w:sz="4" w:space="0"/>
            </w:tcBorders>
            <w:vAlign w:val="center"/>
          </w:tcPr>
          <w:p w14:paraId="241042F4">
            <w:pPr>
              <w:spacing w:line="420" w:lineRule="exact"/>
              <w:ind w:firstLine="420"/>
              <w:jc w:val="center"/>
              <w:rPr>
                <w:rFonts w:ascii="等线" w:hAnsi="等线" w:eastAsia="等线"/>
                <w:b/>
                <w:bCs/>
                <w:szCs w:val="21"/>
              </w:rPr>
            </w:pPr>
            <w:r>
              <w:rPr>
                <w:rFonts w:hint="eastAsia" w:ascii="等线" w:hAnsi="等线" w:eastAsia="等线"/>
                <w:b/>
                <w:bCs/>
                <w:szCs w:val="21"/>
              </w:rPr>
              <w:t>数量（套）</w:t>
            </w:r>
          </w:p>
        </w:tc>
      </w:tr>
      <w:tr w14:paraId="62894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46" w:type="dxa"/>
            <w:tcBorders>
              <w:top w:val="single" w:color="auto" w:sz="4" w:space="0"/>
              <w:left w:val="single" w:color="auto" w:sz="4" w:space="0"/>
              <w:bottom w:val="single" w:color="auto" w:sz="4" w:space="0"/>
              <w:right w:val="single" w:color="auto" w:sz="4" w:space="0"/>
            </w:tcBorders>
          </w:tcPr>
          <w:p w14:paraId="52FC4362">
            <w:pPr>
              <w:spacing w:line="420" w:lineRule="exact"/>
              <w:jc w:val="center"/>
              <w:rPr>
                <w:rFonts w:ascii="等线" w:hAnsi="等线" w:eastAsia="等线"/>
                <w:b/>
                <w:bCs/>
                <w:szCs w:val="21"/>
              </w:rPr>
            </w:pPr>
            <w:r>
              <w:rPr>
                <w:rFonts w:hint="eastAsia" w:ascii="等线" w:hAnsi="等线" w:eastAsia="等线"/>
                <w:b/>
                <w:bCs/>
                <w:szCs w:val="21"/>
              </w:rPr>
              <w:t>±535kV XLPE绝缘海缆直通接头</w:t>
            </w:r>
          </w:p>
        </w:tc>
        <w:tc>
          <w:tcPr>
            <w:tcW w:w="2984" w:type="dxa"/>
            <w:tcBorders>
              <w:top w:val="single" w:color="auto" w:sz="4" w:space="0"/>
              <w:left w:val="single" w:color="auto" w:sz="4" w:space="0"/>
              <w:bottom w:val="single" w:color="auto" w:sz="4" w:space="0"/>
              <w:right w:val="single" w:color="auto" w:sz="4" w:space="0"/>
            </w:tcBorders>
          </w:tcPr>
          <w:p w14:paraId="32B1E23D">
            <w:pPr>
              <w:spacing w:line="420" w:lineRule="exact"/>
              <w:ind w:firstLine="420"/>
              <w:jc w:val="center"/>
              <w:rPr>
                <w:rFonts w:hint="eastAsia" w:ascii="等线" w:hAnsi="等线" w:eastAsia="等线"/>
                <w:b/>
                <w:bCs/>
                <w:szCs w:val="21"/>
              </w:rPr>
            </w:pPr>
            <w:r>
              <w:rPr>
                <w:rFonts w:hint="eastAsia" w:ascii="等线" w:hAnsi="等线" w:eastAsia="等线"/>
                <w:b/>
                <w:bCs/>
                <w:szCs w:val="21"/>
              </w:rPr>
              <w:t>DC-YJ-JTI2 535kV</w:t>
            </w:r>
          </w:p>
          <w:p w14:paraId="6D411D9E">
            <w:pPr>
              <w:spacing w:line="420" w:lineRule="exact"/>
              <w:ind w:firstLine="420"/>
              <w:jc w:val="center"/>
              <w:rPr>
                <w:rFonts w:hint="eastAsia" w:ascii="等线" w:hAnsi="等线" w:eastAsia="等线"/>
                <w:b/>
                <w:bCs/>
                <w:szCs w:val="21"/>
              </w:rPr>
            </w:pPr>
            <w:r>
              <w:rPr>
                <w:rFonts w:hint="eastAsia" w:ascii="等线" w:hAnsi="等线" w:eastAsia="等线"/>
                <w:b/>
                <w:bCs/>
                <w:szCs w:val="21"/>
              </w:rPr>
              <w:t>1×3000mm²</w:t>
            </w:r>
          </w:p>
        </w:tc>
        <w:tc>
          <w:tcPr>
            <w:tcW w:w="1795" w:type="dxa"/>
            <w:tcBorders>
              <w:top w:val="single" w:color="auto" w:sz="4" w:space="0"/>
              <w:left w:val="single" w:color="auto" w:sz="4" w:space="0"/>
              <w:bottom w:val="single" w:color="auto" w:sz="4" w:space="0"/>
              <w:right w:val="single" w:color="auto" w:sz="4" w:space="0"/>
            </w:tcBorders>
            <w:vAlign w:val="center"/>
          </w:tcPr>
          <w:p w14:paraId="761A1FF8">
            <w:pPr>
              <w:spacing w:line="420" w:lineRule="exact"/>
              <w:ind w:firstLine="420"/>
              <w:jc w:val="center"/>
              <w:rPr>
                <w:rFonts w:hint="eastAsia" w:ascii="等线" w:hAnsi="等线" w:eastAsia="等线"/>
                <w:b/>
                <w:bCs/>
                <w:szCs w:val="21"/>
              </w:rPr>
            </w:pPr>
            <w:r>
              <w:rPr>
                <w:rFonts w:hint="eastAsia" w:ascii="等线" w:hAnsi="等线" w:eastAsia="等线"/>
                <w:b/>
                <w:bCs/>
                <w:szCs w:val="21"/>
              </w:rPr>
              <w:t>2</w:t>
            </w:r>
          </w:p>
        </w:tc>
      </w:tr>
      <w:tr w14:paraId="2E4D9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46" w:type="dxa"/>
            <w:tcBorders>
              <w:top w:val="single" w:color="auto" w:sz="4" w:space="0"/>
              <w:left w:val="single" w:color="auto" w:sz="4" w:space="0"/>
              <w:bottom w:val="single" w:color="auto" w:sz="4" w:space="0"/>
              <w:right w:val="single" w:color="auto" w:sz="4" w:space="0"/>
            </w:tcBorders>
          </w:tcPr>
          <w:p w14:paraId="47C78115">
            <w:pPr>
              <w:spacing w:line="420" w:lineRule="exact"/>
              <w:jc w:val="center"/>
              <w:rPr>
                <w:rFonts w:hint="eastAsia" w:ascii="等线" w:hAnsi="等线" w:eastAsia="等线"/>
                <w:b/>
                <w:bCs/>
                <w:szCs w:val="21"/>
              </w:rPr>
            </w:pPr>
            <w:r>
              <w:rPr>
                <w:rFonts w:hint="eastAsia" w:ascii="等线" w:hAnsi="等线" w:eastAsia="等线"/>
                <w:b/>
                <w:bCs/>
                <w:szCs w:val="21"/>
              </w:rPr>
              <w:t>±535kV XLPE绝缘海缆复合套管户外终端</w:t>
            </w:r>
          </w:p>
        </w:tc>
        <w:tc>
          <w:tcPr>
            <w:tcW w:w="2984" w:type="dxa"/>
            <w:tcBorders>
              <w:top w:val="single" w:color="auto" w:sz="4" w:space="0"/>
              <w:left w:val="single" w:color="auto" w:sz="4" w:space="0"/>
              <w:bottom w:val="single" w:color="auto" w:sz="4" w:space="0"/>
              <w:right w:val="single" w:color="auto" w:sz="4" w:space="0"/>
            </w:tcBorders>
          </w:tcPr>
          <w:p w14:paraId="4BAFD367">
            <w:pPr>
              <w:spacing w:line="420" w:lineRule="exact"/>
              <w:ind w:firstLine="420"/>
              <w:jc w:val="center"/>
              <w:rPr>
                <w:rFonts w:hint="eastAsia" w:ascii="等线" w:hAnsi="等线" w:eastAsia="等线"/>
                <w:b/>
                <w:bCs/>
                <w:szCs w:val="21"/>
              </w:rPr>
            </w:pPr>
            <w:r>
              <w:rPr>
                <w:rFonts w:hint="eastAsia" w:ascii="等线" w:hAnsi="等线" w:eastAsia="等线"/>
                <w:b/>
                <w:bCs/>
                <w:szCs w:val="21"/>
              </w:rPr>
              <w:t>DC-YJ-ZWFY4 535kV</w:t>
            </w:r>
          </w:p>
          <w:p w14:paraId="334DE8EA">
            <w:pPr>
              <w:spacing w:line="420" w:lineRule="exact"/>
              <w:ind w:firstLine="420"/>
              <w:jc w:val="center"/>
              <w:rPr>
                <w:rFonts w:hint="eastAsia" w:ascii="等线" w:hAnsi="等线" w:eastAsia="等线"/>
                <w:b/>
                <w:bCs/>
                <w:szCs w:val="21"/>
              </w:rPr>
            </w:pPr>
            <w:r>
              <w:rPr>
                <w:rFonts w:hint="eastAsia" w:ascii="等线" w:hAnsi="等线" w:eastAsia="等线"/>
                <w:b/>
                <w:bCs/>
                <w:szCs w:val="21"/>
              </w:rPr>
              <w:t>1×3000mm²</w:t>
            </w:r>
          </w:p>
        </w:tc>
        <w:tc>
          <w:tcPr>
            <w:tcW w:w="1795" w:type="dxa"/>
            <w:tcBorders>
              <w:top w:val="single" w:color="auto" w:sz="4" w:space="0"/>
              <w:left w:val="single" w:color="auto" w:sz="4" w:space="0"/>
              <w:bottom w:val="single" w:color="auto" w:sz="4" w:space="0"/>
              <w:right w:val="single" w:color="auto" w:sz="4" w:space="0"/>
            </w:tcBorders>
            <w:vAlign w:val="center"/>
          </w:tcPr>
          <w:p w14:paraId="4EED3252">
            <w:pPr>
              <w:spacing w:line="420" w:lineRule="exact"/>
              <w:ind w:firstLine="420"/>
              <w:jc w:val="center"/>
              <w:rPr>
                <w:rFonts w:hint="eastAsia" w:ascii="等线" w:hAnsi="等线" w:eastAsia="等线"/>
                <w:b/>
                <w:bCs/>
                <w:szCs w:val="21"/>
              </w:rPr>
            </w:pPr>
            <w:r>
              <w:rPr>
                <w:rFonts w:hint="eastAsia" w:ascii="等线" w:hAnsi="等线" w:eastAsia="等线"/>
                <w:b/>
                <w:bCs/>
                <w:szCs w:val="21"/>
              </w:rPr>
              <w:t>2</w:t>
            </w:r>
          </w:p>
        </w:tc>
      </w:tr>
      <w:tr w14:paraId="3D61E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46" w:type="dxa"/>
            <w:tcBorders>
              <w:top w:val="single" w:color="auto" w:sz="4" w:space="0"/>
              <w:left w:val="single" w:color="auto" w:sz="4" w:space="0"/>
              <w:bottom w:val="single" w:color="auto" w:sz="4" w:space="0"/>
              <w:right w:val="single" w:color="auto" w:sz="4" w:space="0"/>
            </w:tcBorders>
          </w:tcPr>
          <w:p w14:paraId="70AFFD04">
            <w:pPr>
              <w:spacing w:line="420" w:lineRule="exact"/>
              <w:jc w:val="center"/>
              <w:rPr>
                <w:rFonts w:hint="eastAsia" w:ascii="等线" w:hAnsi="等线" w:eastAsia="等线"/>
                <w:b/>
                <w:bCs/>
                <w:szCs w:val="21"/>
              </w:rPr>
            </w:pPr>
            <w:r>
              <w:rPr>
                <w:rFonts w:hint="eastAsia" w:ascii="等线" w:hAnsi="等线" w:eastAsia="等线"/>
                <w:b/>
                <w:bCs/>
                <w:szCs w:val="21"/>
              </w:rPr>
              <w:t>±535kV XLPE绝缘海缆瓷套管户外终端</w:t>
            </w:r>
          </w:p>
        </w:tc>
        <w:tc>
          <w:tcPr>
            <w:tcW w:w="2984" w:type="dxa"/>
            <w:tcBorders>
              <w:top w:val="single" w:color="auto" w:sz="4" w:space="0"/>
              <w:left w:val="single" w:color="auto" w:sz="4" w:space="0"/>
              <w:bottom w:val="single" w:color="auto" w:sz="4" w:space="0"/>
              <w:right w:val="single" w:color="auto" w:sz="4" w:space="0"/>
            </w:tcBorders>
          </w:tcPr>
          <w:p w14:paraId="2A8A6356">
            <w:pPr>
              <w:spacing w:line="420" w:lineRule="exact"/>
              <w:ind w:firstLine="420"/>
              <w:jc w:val="center"/>
              <w:rPr>
                <w:rFonts w:hint="eastAsia" w:ascii="等线" w:hAnsi="等线" w:eastAsia="等线"/>
                <w:b/>
                <w:bCs/>
                <w:szCs w:val="21"/>
              </w:rPr>
            </w:pPr>
            <w:r>
              <w:rPr>
                <w:rFonts w:hint="eastAsia" w:ascii="等线" w:hAnsi="等线" w:eastAsia="等线"/>
                <w:b/>
                <w:bCs/>
                <w:szCs w:val="21"/>
              </w:rPr>
              <w:t>DC-YJ-ZWY4 535kV</w:t>
            </w:r>
          </w:p>
          <w:p w14:paraId="1A11AED7">
            <w:pPr>
              <w:spacing w:line="420" w:lineRule="exact"/>
              <w:ind w:firstLine="420"/>
              <w:jc w:val="center"/>
              <w:rPr>
                <w:rFonts w:hint="eastAsia" w:ascii="等线" w:hAnsi="等线" w:eastAsia="等线"/>
                <w:b/>
                <w:bCs/>
                <w:szCs w:val="21"/>
              </w:rPr>
            </w:pPr>
            <w:r>
              <w:rPr>
                <w:rFonts w:hint="eastAsia" w:ascii="等线" w:hAnsi="等线" w:eastAsia="等线"/>
                <w:b/>
                <w:bCs/>
                <w:szCs w:val="21"/>
              </w:rPr>
              <w:t>1×3000mm²</w:t>
            </w:r>
          </w:p>
        </w:tc>
        <w:tc>
          <w:tcPr>
            <w:tcW w:w="1795" w:type="dxa"/>
            <w:tcBorders>
              <w:top w:val="single" w:color="auto" w:sz="4" w:space="0"/>
              <w:left w:val="single" w:color="auto" w:sz="4" w:space="0"/>
              <w:bottom w:val="single" w:color="auto" w:sz="4" w:space="0"/>
              <w:right w:val="single" w:color="auto" w:sz="4" w:space="0"/>
            </w:tcBorders>
            <w:vAlign w:val="center"/>
          </w:tcPr>
          <w:p w14:paraId="336D245B">
            <w:pPr>
              <w:spacing w:line="420" w:lineRule="exact"/>
              <w:ind w:firstLine="420"/>
              <w:jc w:val="center"/>
              <w:rPr>
                <w:rFonts w:hint="eastAsia" w:ascii="等线" w:hAnsi="等线" w:eastAsia="等线"/>
                <w:b/>
                <w:bCs/>
                <w:szCs w:val="21"/>
              </w:rPr>
            </w:pPr>
            <w:r>
              <w:rPr>
                <w:rFonts w:hint="eastAsia" w:ascii="等线" w:hAnsi="等线" w:eastAsia="等线"/>
                <w:b/>
                <w:bCs/>
                <w:szCs w:val="21"/>
              </w:rPr>
              <w:t>2</w:t>
            </w:r>
          </w:p>
        </w:tc>
      </w:tr>
    </w:tbl>
    <w:p w14:paraId="493D40E5">
      <w:pPr>
        <w:spacing w:line="420" w:lineRule="exact"/>
        <w:jc w:val="left"/>
        <w:rPr>
          <w:rFonts w:hint="eastAsia" w:ascii="等线" w:hAnsi="等线" w:eastAsia="等线"/>
          <w:szCs w:val="21"/>
        </w:rPr>
      </w:pPr>
    </w:p>
    <w:p w14:paraId="434E07D0">
      <w:pPr>
        <w:spacing w:line="420" w:lineRule="exact"/>
        <w:rPr>
          <w:rFonts w:ascii="等线" w:hAnsi="等线" w:eastAsia="等线"/>
          <w:b/>
          <w:bCs/>
          <w:color w:val="0070C0"/>
          <w:szCs w:val="21"/>
        </w:rPr>
      </w:pPr>
      <w:bookmarkStart w:id="0" w:name="_Hlk104294577"/>
      <w:r>
        <w:rPr>
          <w:rFonts w:hint="eastAsia" w:ascii="等线" w:hAnsi="等线" w:eastAsia="等线"/>
          <w:b/>
          <w:bCs/>
          <w:color w:val="0070C0"/>
          <w:szCs w:val="21"/>
        </w:rPr>
        <w:t>三、招标产品用途</w:t>
      </w:r>
      <w:bookmarkEnd w:id="0"/>
      <w:r>
        <w:rPr>
          <w:rFonts w:hint="eastAsia" w:ascii="等线" w:hAnsi="等线" w:eastAsia="等线"/>
          <w:b/>
          <w:bCs/>
          <w:color w:val="0070C0"/>
          <w:szCs w:val="21"/>
        </w:rPr>
        <w:t>、要求</w:t>
      </w:r>
    </w:p>
    <w:p w14:paraId="4E7838EC">
      <w:pPr>
        <w:spacing w:line="42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1、本次招标的电缆附件用于配套±535kV 1×3000mm²海缆进行型式试验和预鉴定试验。产品需满足GB/T31489，并满足型式试验和预鉴定试验的要求。</w:t>
      </w:r>
    </w:p>
    <w:p w14:paraId="31ECB789">
      <w:pPr>
        <w:spacing w:line="42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2、包含电缆附件安装费用（包括试验后附件解剖、钢丝处理、修理接头不锈钢壳体安装等），安装地点在国缆检测中心，安装时间预计2</w:t>
      </w:r>
      <w:r>
        <w:rPr>
          <w:rFonts w:asciiTheme="minorEastAsia" w:hAnsiTheme="minorEastAsia" w:eastAsiaTheme="minorEastAsia" w:cstheme="minorEastAsia"/>
          <w:szCs w:val="21"/>
        </w:rPr>
        <w:t>02</w:t>
      </w:r>
      <w:r>
        <w:rPr>
          <w:rFonts w:hint="eastAsia" w:asciiTheme="minorEastAsia" w:hAnsiTheme="minorEastAsia" w:eastAsiaTheme="minorEastAsia" w:cstheme="minorEastAsia"/>
          <w:szCs w:val="21"/>
        </w:rPr>
        <w:t>6年7月，具体以国缆检测中心安排为准。</w:t>
      </w:r>
    </w:p>
    <w:p w14:paraId="733946DC">
      <w:pPr>
        <w:spacing w:line="42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3、产品性能可靠，具备一次性通过试验的能力，并具有一次性通过试验的案例。如试验过程中附件击穿或闪络导致试验终止，卖方免费更换附件。如水压试验等非电气试验项目未通过，</w:t>
      </w:r>
    </w:p>
    <w:p w14:paraId="5C0360ED">
      <w:pPr>
        <w:spacing w:line="42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4、试验结束后，其中1个瓷套管归远东海缆有限公司所有。</w:t>
      </w:r>
    </w:p>
    <w:p w14:paraId="5FFA23FA">
      <w:pPr>
        <w:spacing w:line="42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5、型式试验及预鉴定试验中需要厂家自行确认的试验数据，卖方需与买方协商后，再提交试验室。</w:t>
      </w:r>
    </w:p>
    <w:p w14:paraId="46F4CBDE">
      <w:pPr>
        <w:jc w:val="center"/>
        <w:rPr>
          <w:rFonts w:hint="eastAsia" w:ascii="宋体" w:hAnsi="宋体"/>
          <w:sz w:val="28"/>
          <w:szCs w:val="28"/>
        </w:rPr>
      </w:pPr>
      <w:r>
        <w:rPr>
          <w:rFonts w:ascii="宋体" w:hAnsi="宋体"/>
          <w:sz w:val="28"/>
          <w:szCs w:val="28"/>
        </w:rPr>
        <w:drawing>
          <wp:inline distT="0" distB="0" distL="0" distR="0">
            <wp:extent cx="3467100" cy="5629275"/>
            <wp:effectExtent l="0" t="0" r="0" b="0"/>
            <wp:docPr id="6494991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499191"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3467100" cy="5629275"/>
                    </a:xfrm>
                    <a:prstGeom prst="rect">
                      <a:avLst/>
                    </a:prstGeom>
                    <a:noFill/>
                    <a:ln>
                      <a:noFill/>
                    </a:ln>
                  </pic:spPr>
                </pic:pic>
              </a:graphicData>
            </a:graphic>
          </wp:inline>
        </w:drawing>
      </w:r>
    </w:p>
    <w:p w14:paraId="57BD1CBD">
      <w:pPr>
        <w:spacing w:line="420" w:lineRule="exact"/>
        <w:ind w:leftChars="-67" w:hanging="141" w:hangingChars="67"/>
        <w:jc w:val="left"/>
        <w:rPr>
          <w:rFonts w:hint="eastAsia" w:ascii="等线" w:hAnsi="等线" w:eastAsia="等线"/>
          <w:b/>
          <w:bCs/>
          <w:color w:val="0070C0"/>
          <w:szCs w:val="21"/>
        </w:rPr>
      </w:pPr>
      <w:r>
        <w:rPr>
          <w:rFonts w:hint="eastAsia" w:ascii="等线" w:hAnsi="等线" w:eastAsia="等线"/>
          <w:b/>
          <w:bCs/>
          <w:color w:val="0070C0"/>
          <w:szCs w:val="21"/>
        </w:rPr>
        <w:t>四、报价方式及交货期、付款方式：</w:t>
      </w:r>
    </w:p>
    <w:p w14:paraId="3DF181DF">
      <w:pPr>
        <w:spacing w:line="400" w:lineRule="exact"/>
        <w:ind w:left="561" w:leftChars="267"/>
        <w:rPr>
          <w:rFonts w:hint="eastAsia" w:ascii="宋体" w:hAnsi="宋体" w:cs="宋体"/>
          <w:color w:val="FF0000"/>
          <w:szCs w:val="21"/>
        </w:rPr>
      </w:pPr>
      <w:r>
        <w:rPr>
          <w:rFonts w:hint="eastAsia" w:ascii="宋体" w:hAnsi="宋体" w:cs="宋体"/>
          <w:color w:val="FF0000"/>
          <w:szCs w:val="21"/>
        </w:rPr>
        <w:t>投标方报价应包含：电缆附件产品价、运输费、安装费</w:t>
      </w:r>
      <w:r>
        <w:rPr>
          <w:rFonts w:hint="eastAsia" w:asciiTheme="minorEastAsia" w:hAnsiTheme="minorEastAsia" w:eastAsiaTheme="minorEastAsia" w:cstheme="minorEastAsia"/>
          <w:color w:val="FF0000"/>
          <w:szCs w:val="21"/>
        </w:rPr>
        <w:t>（包括试验后附件解剖、钢丝处理、修理接头不锈钢壳体安装等）</w:t>
      </w:r>
      <w:r>
        <w:rPr>
          <w:rFonts w:hint="eastAsia" w:ascii="宋体" w:hAnsi="宋体" w:cs="宋体"/>
          <w:color w:val="FF0000"/>
          <w:szCs w:val="21"/>
        </w:rPr>
        <w:t>等。交货期2026年6月30日（具体以国缆检测中心安排为准）。交货地点为国缆检测中心。</w:t>
      </w:r>
    </w:p>
    <w:p w14:paraId="528B0E31">
      <w:pPr>
        <w:spacing w:line="400" w:lineRule="exact"/>
        <w:ind w:left="561" w:leftChars="267"/>
        <w:rPr>
          <w:rFonts w:hint="eastAsia" w:ascii="宋体" w:hAnsi="宋体" w:cs="宋体"/>
          <w:b/>
          <w:bCs/>
          <w:color w:val="FF0000"/>
          <w:szCs w:val="21"/>
        </w:rPr>
      </w:pPr>
      <w:r>
        <w:rPr>
          <w:rFonts w:hint="eastAsia" w:ascii="宋体" w:hAnsi="宋体" w:cs="宋体"/>
          <w:color w:val="FF0000"/>
          <w:szCs w:val="21"/>
        </w:rPr>
        <w:t>付款方式为：</w:t>
      </w:r>
      <w:r>
        <w:rPr>
          <w:rFonts w:hint="eastAsia" w:ascii="宋体" w:hAnsi="宋体" w:cs="宋体"/>
          <w:color w:val="FF0000"/>
          <w:szCs w:val="21"/>
          <w:u w:val="single"/>
        </w:rPr>
        <w:t>型式试验完成并取得型式试验报告后6个月支付50%，但不早于2027年3月；预鉴定试验试验结束并取得预鉴定试验报告后6个月支付50%</w:t>
      </w:r>
      <w:r>
        <w:rPr>
          <w:rFonts w:hint="eastAsia" w:ascii="宋体" w:hAnsi="宋体" w:cs="宋体"/>
          <w:color w:val="FF0000"/>
          <w:szCs w:val="21"/>
          <w:u w:val="double"/>
        </w:rPr>
        <w:t>。</w:t>
      </w:r>
      <w:r>
        <w:rPr>
          <w:rFonts w:hint="eastAsia" w:ascii="宋体" w:hAnsi="宋体" w:cs="宋体"/>
          <w:b/>
          <w:bCs/>
          <w:color w:val="FF0000"/>
          <w:szCs w:val="21"/>
        </w:rPr>
        <w:t>（涉及不同付款方式，可在报价书内做商务偏离说明）。</w:t>
      </w:r>
    </w:p>
    <w:p w14:paraId="7C4F2B6E">
      <w:pPr>
        <w:spacing w:line="400" w:lineRule="exact"/>
        <w:rPr>
          <w:b/>
          <w:bCs/>
          <w:color w:val="000000"/>
          <w:sz w:val="24"/>
        </w:rPr>
      </w:pPr>
    </w:p>
    <w:p w14:paraId="4386C449">
      <w:pPr>
        <w:spacing w:line="420" w:lineRule="exact"/>
        <w:ind w:leftChars="-67" w:hanging="141" w:hangingChars="67"/>
        <w:jc w:val="left"/>
        <w:rPr>
          <w:rFonts w:hint="eastAsia" w:ascii="等线" w:hAnsi="等线" w:eastAsia="等线"/>
          <w:b/>
          <w:bCs/>
          <w:color w:val="0070C0"/>
          <w:szCs w:val="21"/>
        </w:rPr>
      </w:pPr>
      <w:r>
        <w:rPr>
          <w:rFonts w:hint="eastAsia" w:ascii="等线" w:hAnsi="等线" w:eastAsia="等线"/>
          <w:b/>
          <w:bCs/>
          <w:color w:val="0070C0"/>
          <w:szCs w:val="21"/>
        </w:rPr>
        <w:t>五、 投标商需提供投标文件的内容</w:t>
      </w:r>
    </w:p>
    <w:p w14:paraId="42CD0366">
      <w:pPr>
        <w:widowControl/>
        <w:spacing w:before="156" w:beforeLines="50" w:line="400" w:lineRule="exact"/>
        <w:jc w:val="left"/>
        <w:rPr>
          <w:rFonts w:hint="eastAsia" w:ascii="宋体" w:hAnsi="宋体" w:cs="宋体"/>
          <w:szCs w:val="21"/>
        </w:rPr>
      </w:pPr>
      <w:r>
        <w:rPr>
          <w:rFonts w:hint="eastAsia" w:ascii="宋体" w:hAnsi="宋体" w:cs="宋体"/>
          <w:szCs w:val="21"/>
        </w:rPr>
        <w:t>1、企业资质文件</w:t>
      </w:r>
    </w:p>
    <w:p w14:paraId="576D3ADF">
      <w:pPr>
        <w:spacing w:line="400" w:lineRule="exact"/>
        <w:ind w:left="561" w:leftChars="267"/>
        <w:rPr>
          <w:rFonts w:hint="eastAsia" w:ascii="宋体" w:hAnsi="宋体" w:cs="宋体"/>
          <w:color w:val="000000"/>
          <w:szCs w:val="21"/>
        </w:rPr>
      </w:pPr>
      <w:r>
        <w:rPr>
          <w:rFonts w:hint="eastAsia" w:ascii="宋体" w:hAnsi="宋体" w:cs="宋体"/>
          <w:color w:val="000000"/>
          <w:szCs w:val="21"/>
        </w:rPr>
        <w:t xml:space="preserve">提供：公司介绍文本、营业执照（三证合一）、银行开户许可证、法人授权委托书、投标对接人身份证复印件（务必备注联系方式）、财务审计报告、质量管理体系认证证书、行业/生产资质证书；报价公司对本次项目的专项授权及承诺书等有效资质证明（如：代理证书等）；±535kV户外终端及接头型式试验报告和预鉴定试验报告。 </w:t>
      </w:r>
    </w:p>
    <w:p w14:paraId="40C75B25">
      <w:pPr>
        <w:spacing w:line="400" w:lineRule="exact"/>
        <w:rPr>
          <w:rFonts w:hint="eastAsia" w:ascii="宋体" w:hAnsi="宋体" w:cs="宋体"/>
          <w:szCs w:val="21"/>
        </w:rPr>
      </w:pPr>
      <w:r>
        <w:rPr>
          <w:rFonts w:hint="eastAsia" w:ascii="宋体" w:hAnsi="宋体" w:cs="宋体"/>
          <w:szCs w:val="21"/>
        </w:rPr>
        <w:t>2、商务文件：</w:t>
      </w:r>
    </w:p>
    <w:p w14:paraId="4A9AA842">
      <w:pPr>
        <w:spacing w:line="400" w:lineRule="exact"/>
        <w:ind w:left="420" w:leftChars="200"/>
        <w:rPr>
          <w:rFonts w:hint="eastAsia" w:ascii="宋体" w:hAnsi="宋体" w:cs="宋体"/>
          <w:szCs w:val="21"/>
        </w:rPr>
      </w:pPr>
      <w:r>
        <w:rPr>
          <w:rFonts w:hint="eastAsia" w:ascii="宋体" w:hAnsi="宋体" w:cs="宋体"/>
          <w:szCs w:val="21"/>
        </w:rPr>
        <w:t>投标产品的响应交货期；投标产品各组成部份（分项报价明细）；付款方式确认（明确付款比例+电汇/银承等）。</w:t>
      </w:r>
    </w:p>
    <w:p w14:paraId="4B0E722E">
      <w:pPr>
        <w:widowControl/>
        <w:spacing w:before="156" w:beforeLines="50" w:line="400" w:lineRule="exact"/>
        <w:ind w:left="315" w:hanging="315" w:hangingChars="150"/>
        <w:jc w:val="left"/>
        <w:rPr>
          <w:rFonts w:hint="eastAsia" w:ascii="宋体" w:hAnsi="宋体" w:cs="宋体"/>
          <w:szCs w:val="21"/>
        </w:rPr>
      </w:pPr>
      <w:r>
        <w:rPr>
          <w:rFonts w:hint="eastAsia" w:ascii="宋体" w:hAnsi="宋体" w:cs="宋体"/>
          <w:szCs w:val="21"/>
        </w:rPr>
        <w:t>4</w:t>
      </w:r>
      <w:r>
        <w:rPr>
          <w:rFonts w:hint="eastAsia" w:ascii="宋体" w:hAnsi="宋体" w:cs="宋体"/>
          <w:color w:val="FF0000"/>
          <w:szCs w:val="21"/>
        </w:rPr>
        <w:t>、</w:t>
      </w:r>
      <w:r>
        <w:rPr>
          <w:rFonts w:hint="eastAsia" w:ascii="宋体" w:hAnsi="宋体" w:cs="宋体"/>
          <w:b/>
          <w:bCs/>
          <w:color w:val="FF0000"/>
          <w:szCs w:val="21"/>
        </w:rPr>
        <w:t>投标书正本一份，副本一份，投标文件须密封并在封口签字或加盖公章(需在快递外包袋上注明</w:t>
      </w:r>
      <w:r>
        <w:rPr>
          <w:rFonts w:hint="eastAsia" w:ascii="宋体" w:hAnsi="宋体" w:cs="宋体"/>
          <w:b/>
          <w:bCs/>
          <w:color w:val="FF0000"/>
          <w:szCs w:val="21"/>
          <w:u w:val="double"/>
        </w:rPr>
        <w:t>公司简称+标书</w:t>
      </w:r>
      <w:r>
        <w:rPr>
          <w:rFonts w:hint="eastAsia" w:ascii="宋体" w:hAnsi="宋体" w:cs="宋体"/>
          <w:b/>
          <w:bCs/>
          <w:color w:val="FF0000"/>
          <w:szCs w:val="21"/>
        </w:rPr>
        <w:t>字样)。</w:t>
      </w:r>
    </w:p>
    <w:p w14:paraId="22DF18BF">
      <w:pPr>
        <w:widowControl/>
        <w:spacing w:before="156" w:beforeLines="50" w:line="400" w:lineRule="exact"/>
        <w:jc w:val="left"/>
        <w:rPr>
          <w:rFonts w:hint="eastAsia" w:ascii="宋体" w:hAnsi="宋体" w:cs="宋体"/>
          <w:szCs w:val="21"/>
        </w:rPr>
      </w:pPr>
    </w:p>
    <w:p w14:paraId="5839A8B0">
      <w:pPr>
        <w:spacing w:line="420" w:lineRule="exact"/>
        <w:ind w:leftChars="-67" w:hanging="141" w:hangingChars="67"/>
        <w:jc w:val="left"/>
        <w:rPr>
          <w:rFonts w:hint="eastAsia" w:ascii="等线" w:hAnsi="等线" w:eastAsia="等线"/>
          <w:b/>
          <w:bCs/>
          <w:color w:val="0070C0"/>
          <w:szCs w:val="21"/>
        </w:rPr>
      </w:pPr>
      <w:r>
        <w:rPr>
          <w:rFonts w:hint="eastAsia" w:ascii="等线" w:hAnsi="等线" w:eastAsia="等线"/>
          <w:b/>
          <w:bCs/>
          <w:color w:val="0070C0"/>
          <w:szCs w:val="21"/>
        </w:rPr>
        <w:t>六、投标方需要说明的其它事项：</w:t>
      </w:r>
    </w:p>
    <w:p w14:paraId="7184F521">
      <w:pPr>
        <w:spacing w:line="400" w:lineRule="exact"/>
        <w:ind w:left="456" w:leftChars="67" w:hanging="315" w:hangingChars="150"/>
        <w:rPr>
          <w:rFonts w:hint="eastAsia" w:ascii="宋体" w:hAnsi="宋体" w:cs="宋体"/>
          <w:szCs w:val="21"/>
        </w:rPr>
      </w:pPr>
      <w:r>
        <w:rPr>
          <w:rFonts w:hint="eastAsia" w:ascii="宋体" w:hAnsi="宋体" w:cs="宋体"/>
          <w:szCs w:val="21"/>
        </w:rPr>
        <w:t>1、本标书仅提供了招标产品的基本参数及要求，投标方不能因招标书的限定而免除对投标产品应满足招标方其它要求应承担的责任。</w:t>
      </w:r>
    </w:p>
    <w:p w14:paraId="26CEB18B">
      <w:pPr>
        <w:spacing w:line="400" w:lineRule="exact"/>
        <w:ind w:firstLine="105" w:firstLineChars="50"/>
        <w:rPr>
          <w:rFonts w:hint="eastAsia" w:ascii="宋体" w:hAnsi="宋体" w:cs="宋体"/>
          <w:szCs w:val="21"/>
        </w:rPr>
      </w:pPr>
      <w:r>
        <w:rPr>
          <w:rFonts w:hint="eastAsia" w:ascii="宋体" w:hAnsi="宋体" w:cs="宋体"/>
          <w:szCs w:val="21"/>
        </w:rPr>
        <w:t>2、招标方在合同签定之前有权对采购数量和性能参数进行调整。</w:t>
      </w:r>
    </w:p>
    <w:p w14:paraId="447B23BB">
      <w:pPr>
        <w:spacing w:line="400" w:lineRule="exact"/>
        <w:ind w:left="456" w:leftChars="67" w:hanging="315" w:hangingChars="150"/>
        <w:rPr>
          <w:rFonts w:hint="eastAsia" w:ascii="宋体" w:hAnsi="宋体" w:cs="宋体"/>
          <w:szCs w:val="21"/>
        </w:rPr>
      </w:pPr>
      <w:r>
        <w:rPr>
          <w:rFonts w:hint="eastAsia" w:ascii="宋体" w:hAnsi="宋体" w:cs="宋体"/>
          <w:szCs w:val="21"/>
        </w:rPr>
        <w:t>3、</w:t>
      </w:r>
      <w:r>
        <w:rPr>
          <w:rFonts w:hint="eastAsia" w:ascii="宋体" w:hAnsi="宋体" w:cs="宋体"/>
          <w:color w:val="FF0000"/>
          <w:szCs w:val="21"/>
        </w:rPr>
        <w:t>本次招标项目截止时间为</w:t>
      </w:r>
      <w:r>
        <w:rPr>
          <w:rFonts w:hint="eastAsia" w:ascii="宋体" w:hAnsi="宋体" w:cs="宋体"/>
          <w:color w:val="FF0000"/>
          <w:szCs w:val="21"/>
          <w:u w:val="single"/>
        </w:rPr>
        <w:t>2026年4月</w:t>
      </w:r>
      <w:r>
        <w:rPr>
          <w:rFonts w:hint="eastAsia" w:ascii="宋体" w:hAnsi="宋体" w:cs="宋体"/>
          <w:color w:val="FF0000"/>
          <w:szCs w:val="21"/>
          <w:u w:val="single"/>
          <w:lang w:val="en-US" w:eastAsia="zh-CN"/>
        </w:rPr>
        <w:t>2</w:t>
      </w:r>
      <w:r>
        <w:rPr>
          <w:rFonts w:hint="eastAsia" w:ascii="宋体" w:hAnsi="宋体" w:cs="宋体"/>
          <w:color w:val="FF0000"/>
          <w:szCs w:val="21"/>
          <w:u w:val="single"/>
        </w:rPr>
        <w:t>日17:00</w:t>
      </w:r>
      <w:r>
        <w:rPr>
          <w:rFonts w:hint="eastAsia" w:ascii="宋体" w:hAnsi="宋体" w:cs="宋体"/>
          <w:color w:val="FF0000"/>
          <w:szCs w:val="21"/>
        </w:rPr>
        <w:t>时,投标方将投标书以快件形式寄送/送达招标方</w:t>
      </w:r>
      <w:r>
        <w:rPr>
          <w:rFonts w:hint="eastAsia" w:ascii="宋体" w:hAnsi="宋体" w:cs="宋体"/>
          <w:szCs w:val="21"/>
        </w:rPr>
        <w:t xml:space="preserve">。   </w:t>
      </w:r>
    </w:p>
    <w:p w14:paraId="7F74A6E3">
      <w:pPr>
        <w:spacing w:line="400" w:lineRule="exact"/>
        <w:ind w:firstLine="105" w:firstLineChars="50"/>
        <w:rPr>
          <w:rFonts w:hint="eastAsia" w:ascii="宋体" w:hAnsi="宋体" w:cs="宋体"/>
          <w:szCs w:val="21"/>
        </w:rPr>
      </w:pPr>
      <w:r>
        <w:rPr>
          <w:rFonts w:hint="eastAsia" w:ascii="宋体" w:hAnsi="宋体" w:cs="宋体"/>
          <w:szCs w:val="21"/>
        </w:rPr>
        <w:t xml:space="preserve">4、本次招标开标时不邀请投标方派员参加。 </w:t>
      </w:r>
    </w:p>
    <w:p w14:paraId="237AA4A5">
      <w:pPr>
        <w:spacing w:line="400" w:lineRule="exact"/>
        <w:ind w:left="456" w:leftChars="67" w:hanging="315" w:hangingChars="150"/>
        <w:rPr>
          <w:rFonts w:hint="eastAsia" w:ascii="宋体" w:hAnsi="宋体" w:cs="宋体"/>
          <w:szCs w:val="21"/>
        </w:rPr>
      </w:pPr>
      <w:r>
        <w:rPr>
          <w:rFonts w:hint="eastAsia" w:ascii="宋体" w:hAnsi="宋体" w:cs="宋体"/>
          <w:szCs w:val="21"/>
        </w:rPr>
        <w:t>5、届时由招标方邀请有关方面专家对标书进行评审，根据评审情况通知投标方对投标设备标书内容作进一步交流澄清，投标方就相关问题作书面承诺。</w:t>
      </w:r>
    </w:p>
    <w:p w14:paraId="2FBE28CA">
      <w:pPr>
        <w:spacing w:line="400" w:lineRule="exact"/>
        <w:ind w:left="456" w:leftChars="67" w:hanging="315" w:hangingChars="150"/>
        <w:rPr>
          <w:rFonts w:hint="eastAsia" w:ascii="宋体" w:hAnsi="宋体" w:cs="宋体"/>
          <w:szCs w:val="21"/>
        </w:rPr>
      </w:pPr>
      <w:r>
        <w:rPr>
          <w:rFonts w:hint="eastAsia" w:ascii="宋体" w:hAnsi="宋体" w:cs="宋体"/>
          <w:szCs w:val="21"/>
        </w:rPr>
        <w:t>6、招标方依据评审和答疑结果确定中标单位，并通知中标单位签订合同、技术协议等文件，对未中标单位招标方不作解释。</w:t>
      </w:r>
    </w:p>
    <w:p w14:paraId="7D3BC3F5">
      <w:pPr>
        <w:spacing w:line="400" w:lineRule="exact"/>
        <w:ind w:left="501" w:leftChars="67" w:hanging="360" w:hangingChars="150"/>
        <w:rPr>
          <w:sz w:val="24"/>
        </w:rPr>
      </w:pPr>
    </w:p>
    <w:p w14:paraId="2D308010">
      <w:pPr>
        <w:spacing w:line="420" w:lineRule="exact"/>
        <w:ind w:leftChars="-67" w:hanging="141" w:hangingChars="67"/>
        <w:jc w:val="left"/>
        <w:rPr>
          <w:rFonts w:hint="eastAsia" w:ascii="等线" w:hAnsi="等线" w:eastAsia="等线"/>
          <w:b/>
          <w:bCs/>
          <w:color w:val="0070C0"/>
          <w:szCs w:val="21"/>
        </w:rPr>
      </w:pPr>
      <w:r>
        <w:rPr>
          <w:rFonts w:hint="eastAsia" w:ascii="等线" w:hAnsi="等线" w:eastAsia="等线"/>
          <w:b/>
          <w:bCs/>
          <w:color w:val="0070C0"/>
          <w:szCs w:val="21"/>
        </w:rPr>
        <w:t>七、 标书接收形式及方式</w:t>
      </w:r>
    </w:p>
    <w:p w14:paraId="75341061">
      <w:pPr>
        <w:spacing w:line="400" w:lineRule="exact"/>
        <w:ind w:left="501" w:leftChars="67" w:hanging="360" w:hangingChars="150"/>
        <w:rPr>
          <w:sz w:val="24"/>
        </w:rPr>
      </w:pPr>
    </w:p>
    <w:p w14:paraId="200EC298">
      <w:pPr>
        <w:ind w:firstLine="210" w:firstLineChars="100"/>
        <w:rPr>
          <w:rFonts w:hint="eastAsia" w:ascii="宋体" w:hAnsi="宋体" w:cs="宋体"/>
          <w:szCs w:val="21"/>
        </w:rPr>
      </w:pPr>
      <w:r>
        <w:rPr>
          <w:rFonts w:hint="eastAsia" w:ascii="宋体" w:hAnsi="宋体" w:cs="宋体"/>
          <w:szCs w:val="21"/>
        </w:rPr>
        <w:t xml:space="preserve">1、标书接收人：徐云飞   18861775801    </w:t>
      </w:r>
    </w:p>
    <w:p w14:paraId="003C0824">
      <w:pPr>
        <w:rPr>
          <w:rFonts w:hint="eastAsia" w:ascii="宋体" w:hAnsi="宋体" w:cs="宋体"/>
          <w:szCs w:val="21"/>
        </w:rPr>
      </w:pPr>
    </w:p>
    <w:p w14:paraId="3D80E63B">
      <w:pPr>
        <w:numPr>
          <w:ilvl w:val="0"/>
          <w:numId w:val="2"/>
        </w:numPr>
        <w:ind w:firstLine="210" w:firstLineChars="100"/>
        <w:rPr>
          <w:rFonts w:hint="eastAsia" w:ascii="宋体" w:hAnsi="宋体" w:cs="宋体"/>
          <w:szCs w:val="21"/>
        </w:rPr>
      </w:pPr>
      <w:r>
        <w:rPr>
          <w:rFonts w:hint="eastAsia" w:ascii="宋体" w:hAnsi="宋体" w:cs="宋体"/>
          <w:szCs w:val="21"/>
        </w:rPr>
        <w:t xml:space="preserve">技术答疑人：孙剑飞   18861775313   </w:t>
      </w:r>
    </w:p>
    <w:p w14:paraId="3678927E">
      <w:pPr>
        <w:rPr>
          <w:rFonts w:hint="eastAsia" w:ascii="宋体" w:hAnsi="宋体" w:cs="宋体"/>
          <w:szCs w:val="21"/>
        </w:rPr>
      </w:pPr>
      <w:r>
        <w:rPr>
          <w:rFonts w:hint="eastAsia" w:ascii="宋体" w:hAnsi="宋体" w:cs="宋体"/>
          <w:szCs w:val="21"/>
        </w:rPr>
        <w:t xml:space="preserve">  </w:t>
      </w:r>
    </w:p>
    <w:p w14:paraId="23B39022">
      <w:pPr>
        <w:ind w:firstLine="210" w:firstLineChars="100"/>
        <w:rPr>
          <w:rFonts w:hint="eastAsia" w:ascii="宋体" w:hAnsi="宋体" w:cs="宋体"/>
          <w:szCs w:val="21"/>
        </w:rPr>
      </w:pPr>
      <w:r>
        <w:rPr>
          <w:rFonts w:hint="eastAsia" w:ascii="宋体" w:hAnsi="宋体" w:cs="宋体"/>
          <w:szCs w:val="21"/>
        </w:rPr>
        <w:t>3、标书接收地址：</w:t>
      </w:r>
      <w:r>
        <w:rPr>
          <w:rFonts w:hint="eastAsia" w:ascii="宋体" w:hAnsi="宋体" w:eastAsia="宋体" w:cs="宋体"/>
          <w:sz w:val="21"/>
          <w:szCs w:val="21"/>
        </w:rPr>
        <w:t>宜兴市高塍</w:t>
      </w:r>
      <w:r>
        <w:rPr>
          <w:rFonts w:hint="eastAsia" w:ascii="宋体" w:hAnsi="宋体" w:cs="宋体"/>
          <w:sz w:val="21"/>
          <w:szCs w:val="21"/>
          <w:lang w:val="en-US" w:eastAsia="zh-CN"/>
        </w:rPr>
        <w:t>镇</w:t>
      </w:r>
      <w:r>
        <w:rPr>
          <w:rFonts w:hint="eastAsia" w:ascii="宋体" w:hAnsi="宋体" w:eastAsia="宋体" w:cs="宋体"/>
          <w:sz w:val="21"/>
          <w:szCs w:val="21"/>
        </w:rPr>
        <w:t>范道</w:t>
      </w:r>
      <w:r>
        <w:rPr>
          <w:rFonts w:hint="eastAsia" w:ascii="宋体" w:hAnsi="宋体" w:cs="宋体"/>
          <w:sz w:val="21"/>
          <w:szCs w:val="21"/>
          <w:lang w:val="en-US" w:eastAsia="zh-CN"/>
        </w:rPr>
        <w:t>远东电缆有限公司</w:t>
      </w:r>
      <w:r>
        <w:rPr>
          <w:rFonts w:hint="eastAsia" w:ascii="宋体" w:hAnsi="宋体" w:eastAsia="宋体" w:cs="宋体"/>
          <w:sz w:val="21"/>
          <w:szCs w:val="21"/>
          <w:lang w:eastAsia="zh-CN"/>
        </w:rPr>
        <w:t>—</w:t>
      </w:r>
      <w:r>
        <w:rPr>
          <w:rFonts w:hint="eastAsia" w:ascii="宋体" w:hAnsi="宋体" w:eastAsia="宋体" w:cs="宋体"/>
          <w:sz w:val="21"/>
          <w:szCs w:val="21"/>
        </w:rPr>
        <w:t>采购服务部</w:t>
      </w:r>
      <w:r>
        <w:rPr>
          <w:rFonts w:hint="eastAsia" w:ascii="宋体" w:hAnsi="宋体" w:cs="宋体"/>
          <w:sz w:val="21"/>
          <w:szCs w:val="21"/>
          <w:lang w:val="en-US" w:eastAsia="zh-CN"/>
        </w:rPr>
        <w:t>107室</w:t>
      </w:r>
    </w:p>
    <w:p w14:paraId="1E67E415">
      <w:pPr>
        <w:spacing w:line="360" w:lineRule="exact"/>
        <w:ind w:left="480" w:hanging="480" w:hangingChars="200"/>
        <w:rPr>
          <w:color w:val="0000FF"/>
          <w:sz w:val="24"/>
          <w:u w:val="single"/>
        </w:rPr>
      </w:pPr>
    </w:p>
    <w:p w14:paraId="76B22513">
      <w:pPr>
        <w:spacing w:line="360" w:lineRule="auto"/>
        <w:jc w:val="center"/>
        <w:rPr>
          <w:sz w:val="24"/>
        </w:rPr>
      </w:pPr>
    </w:p>
    <w:sectPr>
      <w:footerReference r:id="rId3" w:type="default"/>
      <w:pgSz w:w="11906" w:h="16838"/>
      <w:pgMar w:top="1418" w:right="1133" w:bottom="1135" w:left="900" w:header="851" w:footer="50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7CCC4">
    <w:pPr>
      <w:pStyle w:val="11"/>
      <w:jc w:val="center"/>
      <w:rPr>
        <w:rFonts w:ascii="宋体"/>
        <w:sz w:val="24"/>
        <w:szCs w:val="24"/>
      </w:rPr>
    </w:pPr>
    <w:r>
      <w:rPr>
        <w:rStyle w:val="20"/>
        <w:rFonts w:ascii="宋体" w:hAnsi="宋体"/>
        <w:sz w:val="24"/>
        <w:szCs w:val="24"/>
      </w:rPr>
      <w:fldChar w:fldCharType="begin"/>
    </w:r>
    <w:r>
      <w:rPr>
        <w:rStyle w:val="20"/>
        <w:rFonts w:ascii="宋体" w:hAnsi="宋体"/>
        <w:sz w:val="24"/>
        <w:szCs w:val="24"/>
      </w:rPr>
      <w:instrText xml:space="preserve"> PAGE </w:instrText>
    </w:r>
    <w:r>
      <w:rPr>
        <w:rStyle w:val="20"/>
        <w:rFonts w:ascii="宋体" w:hAnsi="宋体"/>
        <w:sz w:val="24"/>
        <w:szCs w:val="24"/>
      </w:rPr>
      <w:fldChar w:fldCharType="separate"/>
    </w:r>
    <w:r>
      <w:rPr>
        <w:rStyle w:val="20"/>
        <w:rFonts w:ascii="宋体" w:hAnsi="宋体"/>
        <w:sz w:val="24"/>
        <w:szCs w:val="24"/>
      </w:rPr>
      <w:t>4</w:t>
    </w:r>
    <w:r>
      <w:rPr>
        <w:rStyle w:val="20"/>
        <w:rFonts w:ascii="宋体" w:hAnsi="宋体"/>
        <w:sz w:val="24"/>
        <w:szCs w:val="24"/>
      </w:rPr>
      <w:fldChar w:fldCharType="end"/>
    </w:r>
    <w:r>
      <w:rPr>
        <w:rStyle w:val="20"/>
        <w:rFonts w:ascii="宋体" w:hAnsi="宋体"/>
        <w:sz w:val="24"/>
        <w:szCs w:val="24"/>
      </w:rPr>
      <w:t>/</w:t>
    </w:r>
    <w:r>
      <w:rPr>
        <w:rStyle w:val="20"/>
        <w:rFonts w:ascii="宋体" w:hAnsi="宋体"/>
        <w:sz w:val="24"/>
        <w:szCs w:val="24"/>
      </w:rPr>
      <w:fldChar w:fldCharType="begin"/>
    </w:r>
    <w:r>
      <w:rPr>
        <w:rStyle w:val="20"/>
        <w:rFonts w:ascii="宋体" w:hAnsi="宋体"/>
        <w:sz w:val="24"/>
        <w:szCs w:val="24"/>
      </w:rPr>
      <w:instrText xml:space="preserve"> NUMPAGES </w:instrText>
    </w:r>
    <w:r>
      <w:rPr>
        <w:rStyle w:val="20"/>
        <w:rFonts w:ascii="宋体" w:hAnsi="宋体"/>
        <w:sz w:val="24"/>
        <w:szCs w:val="24"/>
      </w:rPr>
      <w:fldChar w:fldCharType="separate"/>
    </w:r>
    <w:r>
      <w:rPr>
        <w:rStyle w:val="20"/>
        <w:rFonts w:ascii="宋体" w:hAnsi="宋体"/>
        <w:sz w:val="24"/>
        <w:szCs w:val="24"/>
      </w:rPr>
      <w:t>37</w:t>
    </w:r>
    <w:r>
      <w:rPr>
        <w:rStyle w:val="20"/>
        <w:rFonts w:ascii="宋体" w:hAnsi="宋体"/>
        <w:sz w:val="24"/>
        <w:szCs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F"/>
    <w:multiLevelType w:val="singleLevel"/>
    <w:tmpl w:val="FFFFFF7F"/>
    <w:lvl w:ilvl="0" w:tentative="0">
      <w:start w:val="1"/>
      <w:numFmt w:val="decimal"/>
      <w:pStyle w:val="16"/>
      <w:lvlText w:val="%1."/>
      <w:lvlJc w:val="left"/>
      <w:pPr>
        <w:tabs>
          <w:tab w:val="left" w:pos="780"/>
        </w:tabs>
        <w:ind w:left="780" w:hanging="360"/>
      </w:pPr>
    </w:lvl>
  </w:abstractNum>
  <w:abstractNum w:abstractNumId="1">
    <w:nsid w:val="6A280582"/>
    <w:multiLevelType w:val="singleLevel"/>
    <w:tmpl w:val="6A280582"/>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N2RlODY0ZTk5ZDJjYTQ4MTZjMjVlOTYzYzRkYTVjMWQifQ=="/>
  </w:docVars>
  <w:rsids>
    <w:rsidRoot w:val="00C457B2"/>
    <w:rsid w:val="00002805"/>
    <w:rsid w:val="00003BF8"/>
    <w:rsid w:val="00004B73"/>
    <w:rsid w:val="00005FEA"/>
    <w:rsid w:val="00012CEB"/>
    <w:rsid w:val="00016803"/>
    <w:rsid w:val="000175CD"/>
    <w:rsid w:val="000219CC"/>
    <w:rsid w:val="00025AEA"/>
    <w:rsid w:val="00025D17"/>
    <w:rsid w:val="0004042A"/>
    <w:rsid w:val="00045BFA"/>
    <w:rsid w:val="00052577"/>
    <w:rsid w:val="00077F70"/>
    <w:rsid w:val="00096FA3"/>
    <w:rsid w:val="000B0749"/>
    <w:rsid w:val="000C452A"/>
    <w:rsid w:val="000C7BB7"/>
    <w:rsid w:val="000D232F"/>
    <w:rsid w:val="000E0EC6"/>
    <w:rsid w:val="000E2660"/>
    <w:rsid w:val="000F0F0F"/>
    <w:rsid w:val="00102BD1"/>
    <w:rsid w:val="00103217"/>
    <w:rsid w:val="00110DBB"/>
    <w:rsid w:val="001160A5"/>
    <w:rsid w:val="00121B46"/>
    <w:rsid w:val="00124019"/>
    <w:rsid w:val="001320CF"/>
    <w:rsid w:val="0013270E"/>
    <w:rsid w:val="0013337A"/>
    <w:rsid w:val="001357C0"/>
    <w:rsid w:val="00136772"/>
    <w:rsid w:val="00145DBA"/>
    <w:rsid w:val="0015536F"/>
    <w:rsid w:val="0016186A"/>
    <w:rsid w:val="00170E6A"/>
    <w:rsid w:val="0017149F"/>
    <w:rsid w:val="00183FEA"/>
    <w:rsid w:val="00197391"/>
    <w:rsid w:val="001B37BD"/>
    <w:rsid w:val="001B6282"/>
    <w:rsid w:val="001C1CC2"/>
    <w:rsid w:val="001D00A6"/>
    <w:rsid w:val="001D180C"/>
    <w:rsid w:val="001D365E"/>
    <w:rsid w:val="001E05F1"/>
    <w:rsid w:val="001E0DE1"/>
    <w:rsid w:val="001E1452"/>
    <w:rsid w:val="001E404F"/>
    <w:rsid w:val="001E4BCE"/>
    <w:rsid w:val="001E67B5"/>
    <w:rsid w:val="001F0BF7"/>
    <w:rsid w:val="001F12F7"/>
    <w:rsid w:val="001F2661"/>
    <w:rsid w:val="001F4167"/>
    <w:rsid w:val="0020704A"/>
    <w:rsid w:val="00207EFE"/>
    <w:rsid w:val="0021031D"/>
    <w:rsid w:val="0022118F"/>
    <w:rsid w:val="0022182C"/>
    <w:rsid w:val="00230471"/>
    <w:rsid w:val="00230585"/>
    <w:rsid w:val="00235A96"/>
    <w:rsid w:val="00242DB1"/>
    <w:rsid w:val="002434C0"/>
    <w:rsid w:val="00246D50"/>
    <w:rsid w:val="002543D3"/>
    <w:rsid w:val="00265A8B"/>
    <w:rsid w:val="00267667"/>
    <w:rsid w:val="00270E94"/>
    <w:rsid w:val="00271C29"/>
    <w:rsid w:val="00272A31"/>
    <w:rsid w:val="00274ADB"/>
    <w:rsid w:val="002837AD"/>
    <w:rsid w:val="002913F7"/>
    <w:rsid w:val="00296601"/>
    <w:rsid w:val="002A0F8F"/>
    <w:rsid w:val="002A4699"/>
    <w:rsid w:val="002A5E3E"/>
    <w:rsid w:val="002B2B6C"/>
    <w:rsid w:val="002B42F7"/>
    <w:rsid w:val="002B4E61"/>
    <w:rsid w:val="002C1E73"/>
    <w:rsid w:val="002C7C7F"/>
    <w:rsid w:val="002D5F97"/>
    <w:rsid w:val="002E063E"/>
    <w:rsid w:val="002E3F54"/>
    <w:rsid w:val="00303328"/>
    <w:rsid w:val="003049DA"/>
    <w:rsid w:val="00304C7A"/>
    <w:rsid w:val="00313A54"/>
    <w:rsid w:val="00321A4A"/>
    <w:rsid w:val="00322244"/>
    <w:rsid w:val="00334539"/>
    <w:rsid w:val="00335365"/>
    <w:rsid w:val="00351972"/>
    <w:rsid w:val="00351E4F"/>
    <w:rsid w:val="00360CF5"/>
    <w:rsid w:val="00364470"/>
    <w:rsid w:val="00381827"/>
    <w:rsid w:val="0039687C"/>
    <w:rsid w:val="003A0082"/>
    <w:rsid w:val="003A1E19"/>
    <w:rsid w:val="003B12A3"/>
    <w:rsid w:val="003B4FFB"/>
    <w:rsid w:val="003C22F5"/>
    <w:rsid w:val="003C5C90"/>
    <w:rsid w:val="003D23F1"/>
    <w:rsid w:val="003D35D7"/>
    <w:rsid w:val="003E13CC"/>
    <w:rsid w:val="003E34D1"/>
    <w:rsid w:val="003F5817"/>
    <w:rsid w:val="003F7D63"/>
    <w:rsid w:val="004055DD"/>
    <w:rsid w:val="00405876"/>
    <w:rsid w:val="004148B8"/>
    <w:rsid w:val="00420F1E"/>
    <w:rsid w:val="00422A3D"/>
    <w:rsid w:val="004320E7"/>
    <w:rsid w:val="004323A1"/>
    <w:rsid w:val="00451CCB"/>
    <w:rsid w:val="00453361"/>
    <w:rsid w:val="00461B99"/>
    <w:rsid w:val="004643C1"/>
    <w:rsid w:val="004706AB"/>
    <w:rsid w:val="00473E2B"/>
    <w:rsid w:val="00474E46"/>
    <w:rsid w:val="00485C47"/>
    <w:rsid w:val="00487FEA"/>
    <w:rsid w:val="00492D8D"/>
    <w:rsid w:val="004B53BE"/>
    <w:rsid w:val="004D66FC"/>
    <w:rsid w:val="004E08D4"/>
    <w:rsid w:val="004F0285"/>
    <w:rsid w:val="004F56F0"/>
    <w:rsid w:val="004F5B83"/>
    <w:rsid w:val="005141AE"/>
    <w:rsid w:val="00516B85"/>
    <w:rsid w:val="00516D22"/>
    <w:rsid w:val="00520F72"/>
    <w:rsid w:val="00523D06"/>
    <w:rsid w:val="00527FB7"/>
    <w:rsid w:val="00551EDC"/>
    <w:rsid w:val="00553821"/>
    <w:rsid w:val="00564DD2"/>
    <w:rsid w:val="00565FC3"/>
    <w:rsid w:val="00566C26"/>
    <w:rsid w:val="00571360"/>
    <w:rsid w:val="00585485"/>
    <w:rsid w:val="00590E6A"/>
    <w:rsid w:val="005B268D"/>
    <w:rsid w:val="005B6C04"/>
    <w:rsid w:val="005C2F89"/>
    <w:rsid w:val="005C367D"/>
    <w:rsid w:val="005D4CBB"/>
    <w:rsid w:val="005E2988"/>
    <w:rsid w:val="005F3551"/>
    <w:rsid w:val="00611967"/>
    <w:rsid w:val="0061504E"/>
    <w:rsid w:val="00635735"/>
    <w:rsid w:val="00645511"/>
    <w:rsid w:val="00653B7C"/>
    <w:rsid w:val="00654E6D"/>
    <w:rsid w:val="0066396F"/>
    <w:rsid w:val="00675D58"/>
    <w:rsid w:val="0068409B"/>
    <w:rsid w:val="00684918"/>
    <w:rsid w:val="00684C4D"/>
    <w:rsid w:val="006856E0"/>
    <w:rsid w:val="00686513"/>
    <w:rsid w:val="0069606B"/>
    <w:rsid w:val="00696ED1"/>
    <w:rsid w:val="006B77AF"/>
    <w:rsid w:val="006D6C03"/>
    <w:rsid w:val="006E0D46"/>
    <w:rsid w:val="006E1ECC"/>
    <w:rsid w:val="006E4CBF"/>
    <w:rsid w:val="006F136A"/>
    <w:rsid w:val="0072514A"/>
    <w:rsid w:val="00733A58"/>
    <w:rsid w:val="007401BD"/>
    <w:rsid w:val="007409FA"/>
    <w:rsid w:val="00741C0D"/>
    <w:rsid w:val="007443E5"/>
    <w:rsid w:val="00745C04"/>
    <w:rsid w:val="00747300"/>
    <w:rsid w:val="00752506"/>
    <w:rsid w:val="00752584"/>
    <w:rsid w:val="00754B17"/>
    <w:rsid w:val="007607A5"/>
    <w:rsid w:val="00774A88"/>
    <w:rsid w:val="007769A9"/>
    <w:rsid w:val="007907A3"/>
    <w:rsid w:val="00790C20"/>
    <w:rsid w:val="00792178"/>
    <w:rsid w:val="00794B9A"/>
    <w:rsid w:val="007963C5"/>
    <w:rsid w:val="007975F1"/>
    <w:rsid w:val="007A32C8"/>
    <w:rsid w:val="007B58A9"/>
    <w:rsid w:val="007B5A2C"/>
    <w:rsid w:val="007D4EE9"/>
    <w:rsid w:val="007E35B1"/>
    <w:rsid w:val="007E5A4B"/>
    <w:rsid w:val="007E7536"/>
    <w:rsid w:val="00810DE3"/>
    <w:rsid w:val="00813BEC"/>
    <w:rsid w:val="00815F0B"/>
    <w:rsid w:val="00820AFD"/>
    <w:rsid w:val="00826922"/>
    <w:rsid w:val="00827A7D"/>
    <w:rsid w:val="008450A6"/>
    <w:rsid w:val="00861F8D"/>
    <w:rsid w:val="008639DB"/>
    <w:rsid w:val="008642E8"/>
    <w:rsid w:val="0087121A"/>
    <w:rsid w:val="00887E41"/>
    <w:rsid w:val="008A0E58"/>
    <w:rsid w:val="008A1CD0"/>
    <w:rsid w:val="008A3FCE"/>
    <w:rsid w:val="008A4691"/>
    <w:rsid w:val="008B51D7"/>
    <w:rsid w:val="008D03E4"/>
    <w:rsid w:val="008D05A5"/>
    <w:rsid w:val="008D1E2D"/>
    <w:rsid w:val="008D5639"/>
    <w:rsid w:val="008D6072"/>
    <w:rsid w:val="008F4987"/>
    <w:rsid w:val="00900478"/>
    <w:rsid w:val="00905791"/>
    <w:rsid w:val="009106DE"/>
    <w:rsid w:val="00922F90"/>
    <w:rsid w:val="00925581"/>
    <w:rsid w:val="009321C7"/>
    <w:rsid w:val="00936681"/>
    <w:rsid w:val="00940EFE"/>
    <w:rsid w:val="00945482"/>
    <w:rsid w:val="009458F8"/>
    <w:rsid w:val="0095325D"/>
    <w:rsid w:val="00964B34"/>
    <w:rsid w:val="009803AB"/>
    <w:rsid w:val="009830BF"/>
    <w:rsid w:val="00983AD0"/>
    <w:rsid w:val="009862B0"/>
    <w:rsid w:val="009876FC"/>
    <w:rsid w:val="0099347D"/>
    <w:rsid w:val="009954F4"/>
    <w:rsid w:val="009A5E59"/>
    <w:rsid w:val="009B3E54"/>
    <w:rsid w:val="009C7FB4"/>
    <w:rsid w:val="009D51E3"/>
    <w:rsid w:val="009D52BA"/>
    <w:rsid w:val="009D5795"/>
    <w:rsid w:val="009D57AB"/>
    <w:rsid w:val="009E07FE"/>
    <w:rsid w:val="009E0B4C"/>
    <w:rsid w:val="009E2007"/>
    <w:rsid w:val="009F1792"/>
    <w:rsid w:val="009F7BF6"/>
    <w:rsid w:val="00A01198"/>
    <w:rsid w:val="00A03556"/>
    <w:rsid w:val="00A10CA3"/>
    <w:rsid w:val="00A125B1"/>
    <w:rsid w:val="00A1547D"/>
    <w:rsid w:val="00A221B1"/>
    <w:rsid w:val="00A315A8"/>
    <w:rsid w:val="00A33321"/>
    <w:rsid w:val="00A4034B"/>
    <w:rsid w:val="00A52FA9"/>
    <w:rsid w:val="00A67B7A"/>
    <w:rsid w:val="00A941EC"/>
    <w:rsid w:val="00AB0604"/>
    <w:rsid w:val="00AB11AA"/>
    <w:rsid w:val="00AB4524"/>
    <w:rsid w:val="00AC6D18"/>
    <w:rsid w:val="00AD4D0A"/>
    <w:rsid w:val="00AE5765"/>
    <w:rsid w:val="00AE75C4"/>
    <w:rsid w:val="00B0208B"/>
    <w:rsid w:val="00B20742"/>
    <w:rsid w:val="00B318CB"/>
    <w:rsid w:val="00B31B5E"/>
    <w:rsid w:val="00B33068"/>
    <w:rsid w:val="00B3363B"/>
    <w:rsid w:val="00B51313"/>
    <w:rsid w:val="00B51558"/>
    <w:rsid w:val="00B57785"/>
    <w:rsid w:val="00B57DFD"/>
    <w:rsid w:val="00B8210F"/>
    <w:rsid w:val="00B83C4B"/>
    <w:rsid w:val="00B941EB"/>
    <w:rsid w:val="00BA4EE4"/>
    <w:rsid w:val="00BB26CA"/>
    <w:rsid w:val="00BC263D"/>
    <w:rsid w:val="00BC5F37"/>
    <w:rsid w:val="00BD5BD9"/>
    <w:rsid w:val="00BD5C2B"/>
    <w:rsid w:val="00BE6B5B"/>
    <w:rsid w:val="00BF236F"/>
    <w:rsid w:val="00BF2EC2"/>
    <w:rsid w:val="00BF68EA"/>
    <w:rsid w:val="00C01909"/>
    <w:rsid w:val="00C04C2F"/>
    <w:rsid w:val="00C125BC"/>
    <w:rsid w:val="00C201F9"/>
    <w:rsid w:val="00C24509"/>
    <w:rsid w:val="00C3763F"/>
    <w:rsid w:val="00C457B2"/>
    <w:rsid w:val="00C54FA3"/>
    <w:rsid w:val="00C55FCC"/>
    <w:rsid w:val="00C649B1"/>
    <w:rsid w:val="00C832C6"/>
    <w:rsid w:val="00C87039"/>
    <w:rsid w:val="00C9133D"/>
    <w:rsid w:val="00C935BF"/>
    <w:rsid w:val="00C95FA3"/>
    <w:rsid w:val="00C963B1"/>
    <w:rsid w:val="00CA1B49"/>
    <w:rsid w:val="00CB4918"/>
    <w:rsid w:val="00CB4A83"/>
    <w:rsid w:val="00CB68D9"/>
    <w:rsid w:val="00CC7CD0"/>
    <w:rsid w:val="00CD1032"/>
    <w:rsid w:val="00CD3E97"/>
    <w:rsid w:val="00CE0374"/>
    <w:rsid w:val="00CE7480"/>
    <w:rsid w:val="00CF03EA"/>
    <w:rsid w:val="00CF278F"/>
    <w:rsid w:val="00D012C6"/>
    <w:rsid w:val="00D04393"/>
    <w:rsid w:val="00D12E14"/>
    <w:rsid w:val="00D274E5"/>
    <w:rsid w:val="00D30B5B"/>
    <w:rsid w:val="00D31ACF"/>
    <w:rsid w:val="00D353B8"/>
    <w:rsid w:val="00D3597F"/>
    <w:rsid w:val="00D44E0C"/>
    <w:rsid w:val="00D44FE7"/>
    <w:rsid w:val="00D56165"/>
    <w:rsid w:val="00D57F3A"/>
    <w:rsid w:val="00DA018F"/>
    <w:rsid w:val="00DA0E43"/>
    <w:rsid w:val="00DA1802"/>
    <w:rsid w:val="00DA3B5A"/>
    <w:rsid w:val="00DA40FB"/>
    <w:rsid w:val="00DB080A"/>
    <w:rsid w:val="00DB2B69"/>
    <w:rsid w:val="00DB4563"/>
    <w:rsid w:val="00DB7B35"/>
    <w:rsid w:val="00DD0A35"/>
    <w:rsid w:val="00DD44C9"/>
    <w:rsid w:val="00DE271A"/>
    <w:rsid w:val="00DE3610"/>
    <w:rsid w:val="00DE463A"/>
    <w:rsid w:val="00DF62B9"/>
    <w:rsid w:val="00DF7D34"/>
    <w:rsid w:val="00E02BC0"/>
    <w:rsid w:val="00E03A47"/>
    <w:rsid w:val="00E0438F"/>
    <w:rsid w:val="00E10683"/>
    <w:rsid w:val="00E14D3A"/>
    <w:rsid w:val="00E221A7"/>
    <w:rsid w:val="00E2631F"/>
    <w:rsid w:val="00E32263"/>
    <w:rsid w:val="00E415D7"/>
    <w:rsid w:val="00E66812"/>
    <w:rsid w:val="00E71AFD"/>
    <w:rsid w:val="00E945F4"/>
    <w:rsid w:val="00E96B73"/>
    <w:rsid w:val="00EA647A"/>
    <w:rsid w:val="00EA66E4"/>
    <w:rsid w:val="00EB0BEF"/>
    <w:rsid w:val="00EB7078"/>
    <w:rsid w:val="00ED0A9C"/>
    <w:rsid w:val="00ED3407"/>
    <w:rsid w:val="00ED3B6A"/>
    <w:rsid w:val="00EE28F5"/>
    <w:rsid w:val="00EE453A"/>
    <w:rsid w:val="00EE5F9B"/>
    <w:rsid w:val="00EF5664"/>
    <w:rsid w:val="00F01816"/>
    <w:rsid w:val="00F06836"/>
    <w:rsid w:val="00F13332"/>
    <w:rsid w:val="00F145B0"/>
    <w:rsid w:val="00F1738D"/>
    <w:rsid w:val="00F22920"/>
    <w:rsid w:val="00F43B9D"/>
    <w:rsid w:val="00F5427A"/>
    <w:rsid w:val="00F73F61"/>
    <w:rsid w:val="00F77A93"/>
    <w:rsid w:val="00F84A57"/>
    <w:rsid w:val="00F8624E"/>
    <w:rsid w:val="00F9171B"/>
    <w:rsid w:val="00F9232F"/>
    <w:rsid w:val="00FA10BD"/>
    <w:rsid w:val="00FA535B"/>
    <w:rsid w:val="00FA5789"/>
    <w:rsid w:val="00FB1647"/>
    <w:rsid w:val="00FD78EA"/>
    <w:rsid w:val="00FE1A8E"/>
    <w:rsid w:val="00FE43AA"/>
    <w:rsid w:val="00FF26A4"/>
    <w:rsid w:val="00FF29B8"/>
    <w:rsid w:val="071603BE"/>
    <w:rsid w:val="076247AC"/>
    <w:rsid w:val="08E4634A"/>
    <w:rsid w:val="09FD44E6"/>
    <w:rsid w:val="0BB1145F"/>
    <w:rsid w:val="0E190268"/>
    <w:rsid w:val="0E363A45"/>
    <w:rsid w:val="0F9D0696"/>
    <w:rsid w:val="101755A5"/>
    <w:rsid w:val="163B0B96"/>
    <w:rsid w:val="1E723956"/>
    <w:rsid w:val="28155F45"/>
    <w:rsid w:val="29196788"/>
    <w:rsid w:val="29E803C3"/>
    <w:rsid w:val="2B7C61BF"/>
    <w:rsid w:val="2BD81DC1"/>
    <w:rsid w:val="2DBF1599"/>
    <w:rsid w:val="2E4B4B86"/>
    <w:rsid w:val="2E9A31D8"/>
    <w:rsid w:val="2F6A7849"/>
    <w:rsid w:val="2FA66557"/>
    <w:rsid w:val="34AB0B8C"/>
    <w:rsid w:val="38ED1059"/>
    <w:rsid w:val="3AA51998"/>
    <w:rsid w:val="3D762284"/>
    <w:rsid w:val="3FBB4D9D"/>
    <w:rsid w:val="408469E4"/>
    <w:rsid w:val="437D79C7"/>
    <w:rsid w:val="46693892"/>
    <w:rsid w:val="494519B3"/>
    <w:rsid w:val="49B123F5"/>
    <w:rsid w:val="4C0813AE"/>
    <w:rsid w:val="4D746736"/>
    <w:rsid w:val="4DB46E57"/>
    <w:rsid w:val="53922A86"/>
    <w:rsid w:val="544D72DC"/>
    <w:rsid w:val="548670BA"/>
    <w:rsid w:val="56860BC1"/>
    <w:rsid w:val="590A1E4D"/>
    <w:rsid w:val="5ADB6194"/>
    <w:rsid w:val="5AEA0773"/>
    <w:rsid w:val="5BF6326E"/>
    <w:rsid w:val="5FBE7D8F"/>
    <w:rsid w:val="60746A4B"/>
    <w:rsid w:val="61897B09"/>
    <w:rsid w:val="61F71336"/>
    <w:rsid w:val="63D84EDF"/>
    <w:rsid w:val="63DF6AAB"/>
    <w:rsid w:val="648949E7"/>
    <w:rsid w:val="69B94755"/>
    <w:rsid w:val="6A343F70"/>
    <w:rsid w:val="6BC0155D"/>
    <w:rsid w:val="6F187FDD"/>
    <w:rsid w:val="70D72EF1"/>
    <w:rsid w:val="72D33736"/>
    <w:rsid w:val="73413A6E"/>
    <w:rsid w:val="741F00C1"/>
    <w:rsid w:val="79540756"/>
    <w:rsid w:val="7F302CFB"/>
    <w:rsid w:val="7FE530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qFormat="1" w:uiPriority="0" w:semiHidden="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nhideWhenUsed="0" w:uiPriority="99" w:semiHidden="0" w:name="Date"/>
    <w:lsdException w:qFormat="1" w:uiPriority="0" w:semiHidden="0" w:name="Body Text First Indent"/>
    <w:lsdException w:qFormat="1" w:uiPriority="0" w:semiHidden="0" w:name="Body Text First Indent 2"/>
    <w:lsdException w:uiPriority="0" w:name="Note Heading"/>
    <w:lsdException w:qFormat="1"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4"/>
    <w:qFormat/>
    <w:locked/>
    <w:uiPriority w:val="9"/>
    <w:pPr>
      <w:keepNext/>
      <w:keepLines/>
      <w:spacing w:before="340" w:after="330" w:line="578" w:lineRule="auto"/>
      <w:outlineLvl w:val="0"/>
    </w:pPr>
    <w:rPr>
      <w:b/>
      <w:bCs/>
      <w:kern w:val="44"/>
      <w:sz w:val="44"/>
      <w:szCs w:val="44"/>
    </w:rPr>
  </w:style>
  <w:style w:type="paragraph" w:styleId="3">
    <w:name w:val="heading 2"/>
    <w:basedOn w:val="1"/>
    <w:next w:val="1"/>
    <w:link w:val="28"/>
    <w:qFormat/>
    <w:uiPriority w:val="9"/>
    <w:pPr>
      <w:keepNext/>
      <w:keepLines/>
      <w:spacing w:before="260" w:after="260" w:line="415" w:lineRule="auto"/>
      <w:outlineLvl w:val="1"/>
    </w:pPr>
    <w:rPr>
      <w:rFonts w:ascii="Arial" w:hAnsi="Arial" w:eastAsia="黑体"/>
      <w:b/>
      <w:bCs/>
      <w:sz w:val="32"/>
      <w:szCs w:val="32"/>
    </w:rPr>
  </w:style>
  <w:style w:type="character" w:default="1" w:styleId="19">
    <w:name w:val="Default Paragraph Font"/>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4">
    <w:name w:val="Body Text"/>
    <w:basedOn w:val="1"/>
    <w:next w:val="5"/>
    <w:link w:val="38"/>
    <w:qFormat/>
    <w:uiPriority w:val="0"/>
    <w:pPr>
      <w:widowControl/>
      <w:jc w:val="left"/>
    </w:pPr>
    <w:rPr>
      <w:b/>
      <w:bCs/>
      <w:kern w:val="0"/>
      <w:sz w:val="24"/>
      <w:lang w:eastAsia="en-US"/>
    </w:rPr>
  </w:style>
  <w:style w:type="paragraph" w:styleId="5">
    <w:name w:val="Body Text 2"/>
    <w:basedOn w:val="1"/>
    <w:unhideWhenUsed/>
    <w:qFormat/>
    <w:uiPriority w:val="0"/>
    <w:pPr>
      <w:spacing w:line="384" w:lineRule="auto"/>
    </w:pPr>
    <w:rPr>
      <w:rFonts w:ascii="宋体" w:hAnsi="宋体"/>
      <w:sz w:val="24"/>
    </w:rPr>
  </w:style>
  <w:style w:type="paragraph" w:styleId="6">
    <w:name w:val="Body Text Indent"/>
    <w:basedOn w:val="1"/>
    <w:next w:val="7"/>
    <w:link w:val="37"/>
    <w:qFormat/>
    <w:uiPriority w:val="0"/>
    <w:pPr>
      <w:ind w:left="62" w:leftChars="62"/>
    </w:pPr>
    <w:rPr>
      <w:rFonts w:hint="eastAsia" w:ascii="宋体" w:hAnsi="宋体"/>
      <w:sz w:val="28"/>
    </w:rPr>
  </w:style>
  <w:style w:type="paragraph" w:styleId="7">
    <w:name w:val="envelope return"/>
    <w:basedOn w:val="1"/>
    <w:unhideWhenUsed/>
    <w:qFormat/>
    <w:uiPriority w:val="0"/>
    <w:pPr>
      <w:snapToGrid w:val="0"/>
      <w:spacing w:line="360" w:lineRule="auto"/>
    </w:pPr>
    <w:rPr>
      <w:rFonts w:ascii="Arial" w:hAnsi="Arial" w:cs="Arial"/>
    </w:rPr>
  </w:style>
  <w:style w:type="paragraph" w:styleId="8">
    <w:name w:val="Plain Text"/>
    <w:basedOn w:val="1"/>
    <w:link w:val="32"/>
    <w:qFormat/>
    <w:uiPriority w:val="0"/>
    <w:rPr>
      <w:rFonts w:ascii="宋体"/>
      <w:kern w:val="0"/>
    </w:rPr>
  </w:style>
  <w:style w:type="paragraph" w:styleId="9">
    <w:name w:val="Date"/>
    <w:basedOn w:val="1"/>
    <w:next w:val="1"/>
    <w:link w:val="31"/>
    <w:qFormat/>
    <w:uiPriority w:val="99"/>
    <w:pPr>
      <w:ind w:left="2500" w:leftChars="2500"/>
    </w:pPr>
    <w:rPr>
      <w:rFonts w:ascii="Calibri" w:hAnsi="Calibri" w:cs="Arial"/>
      <w:szCs w:val="22"/>
    </w:rPr>
  </w:style>
  <w:style w:type="paragraph" w:styleId="10">
    <w:name w:val="Balloon Text"/>
    <w:basedOn w:val="1"/>
    <w:link w:val="33"/>
    <w:unhideWhenUsed/>
    <w:qFormat/>
    <w:uiPriority w:val="99"/>
    <w:rPr>
      <w:sz w:val="18"/>
      <w:szCs w:val="18"/>
    </w:rPr>
  </w:style>
  <w:style w:type="paragraph" w:styleId="11">
    <w:name w:val="footer"/>
    <w:basedOn w:val="1"/>
    <w:link w:val="30"/>
    <w:qFormat/>
    <w:uiPriority w:val="99"/>
    <w:pPr>
      <w:tabs>
        <w:tab w:val="center" w:pos="4153"/>
        <w:tab w:val="right" w:pos="8306"/>
      </w:tabs>
      <w:snapToGrid w:val="0"/>
      <w:jc w:val="left"/>
    </w:pPr>
    <w:rPr>
      <w:sz w:val="18"/>
      <w:szCs w:val="18"/>
    </w:rPr>
  </w:style>
  <w:style w:type="paragraph" w:styleId="12">
    <w:name w:val="header"/>
    <w:basedOn w:val="1"/>
    <w:link w:val="29"/>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unhideWhenUsed/>
    <w:qFormat/>
    <w:uiPriority w:val="99"/>
    <w:pPr>
      <w:widowControl/>
      <w:jc w:val="left"/>
    </w:pPr>
    <w:rPr>
      <w:rFonts w:ascii="宋体" w:hAnsi="宋体" w:cs="宋体"/>
      <w:kern w:val="0"/>
      <w:sz w:val="24"/>
    </w:rPr>
  </w:style>
  <w:style w:type="paragraph" w:styleId="14">
    <w:name w:val="Title"/>
    <w:basedOn w:val="1"/>
    <w:next w:val="1"/>
    <w:link w:val="35"/>
    <w:qFormat/>
    <w:locked/>
    <w:uiPriority w:val="0"/>
    <w:pPr>
      <w:adjustRightInd w:val="0"/>
      <w:spacing w:before="240" w:after="60" w:line="312" w:lineRule="atLeast"/>
      <w:jc w:val="center"/>
      <w:textAlignment w:val="baseline"/>
      <w:outlineLvl w:val="0"/>
    </w:pPr>
    <w:rPr>
      <w:rFonts w:ascii="Cambria" w:hAnsi="Cambria"/>
      <w:b/>
      <w:bCs/>
      <w:kern w:val="0"/>
      <w:sz w:val="32"/>
      <w:szCs w:val="32"/>
    </w:rPr>
  </w:style>
  <w:style w:type="paragraph" w:styleId="15">
    <w:name w:val="Body Text First Indent"/>
    <w:basedOn w:val="4"/>
    <w:next w:val="16"/>
    <w:unhideWhenUsed/>
    <w:qFormat/>
    <w:uiPriority w:val="0"/>
    <w:pPr>
      <w:spacing w:line="360" w:lineRule="auto"/>
      <w:ind w:firstLine="420" w:firstLineChars="100"/>
    </w:pPr>
  </w:style>
  <w:style w:type="paragraph" w:styleId="16">
    <w:name w:val="Body Text First Indent 2"/>
    <w:basedOn w:val="6"/>
    <w:next w:val="1"/>
    <w:unhideWhenUsed/>
    <w:qFormat/>
    <w:uiPriority w:val="0"/>
    <w:pPr>
      <w:numPr>
        <w:ilvl w:val="0"/>
        <w:numId w:val="1"/>
      </w:numPr>
      <w:tabs>
        <w:tab w:val="left" w:pos="432"/>
        <w:tab w:val="clear" w:pos="780"/>
      </w:tabs>
      <w:spacing w:line="360" w:lineRule="auto"/>
      <w:ind w:left="420" w:firstLine="210" w:firstLineChars="200"/>
    </w:pPr>
    <w:rPr>
      <w:bCs/>
    </w:rPr>
  </w:style>
  <w:style w:type="table" w:styleId="18">
    <w:name w:val="Table Grid"/>
    <w:basedOn w:val="17"/>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99"/>
    <w:rPr>
      <w:rFonts w:cs="Times New Roman"/>
    </w:rPr>
  </w:style>
  <w:style w:type="character" w:styleId="21">
    <w:name w:val="Hyperlink"/>
    <w:qFormat/>
    <w:uiPriority w:val="0"/>
    <w:rPr>
      <w:color w:val="0000FF"/>
      <w:u w:val="single"/>
    </w:rPr>
  </w:style>
  <w:style w:type="paragraph" w:customStyle="1" w:styleId="22">
    <w:name w:val="Char Char Char Char"/>
    <w:basedOn w:val="1"/>
    <w:semiHidden/>
    <w:qFormat/>
    <w:uiPriority w:val="99"/>
    <w:pPr>
      <w:widowControl/>
      <w:spacing w:after="160" w:line="240" w:lineRule="exact"/>
      <w:jc w:val="left"/>
    </w:pPr>
    <w:rPr>
      <w:rFonts w:ascii="Verdana" w:hAnsi="Verdana"/>
      <w:kern w:val="0"/>
      <w:sz w:val="20"/>
      <w:szCs w:val="20"/>
      <w:lang w:eastAsia="en-US"/>
    </w:rPr>
  </w:style>
  <w:style w:type="paragraph" w:customStyle="1" w:styleId="23">
    <w:name w:val="List Paragraph1"/>
    <w:basedOn w:val="1"/>
    <w:qFormat/>
    <w:uiPriority w:val="0"/>
    <w:pPr>
      <w:ind w:firstLine="200" w:firstLineChars="200"/>
    </w:pPr>
    <w:rPr>
      <w:rFonts w:ascii="Calibri" w:hAnsi="Calibri" w:cs="Arial"/>
      <w:szCs w:val="22"/>
    </w:rPr>
  </w:style>
  <w:style w:type="paragraph" w:customStyle="1" w:styleId="24">
    <w:name w:val="列表段落1"/>
    <w:basedOn w:val="1"/>
    <w:qFormat/>
    <w:uiPriority w:val="0"/>
    <w:pPr>
      <w:ind w:firstLine="420" w:firstLineChars="200"/>
    </w:pPr>
  </w:style>
  <w:style w:type="paragraph" w:customStyle="1" w:styleId="25">
    <w:name w:val="列出段落1"/>
    <w:basedOn w:val="1"/>
    <w:qFormat/>
    <w:uiPriority w:val="34"/>
    <w:pPr>
      <w:ind w:firstLine="420" w:firstLineChars="200"/>
    </w:pPr>
  </w:style>
  <w:style w:type="paragraph" w:customStyle="1" w:styleId="26">
    <w:name w:val="_Style 1"/>
    <w:basedOn w:val="1"/>
    <w:unhideWhenUsed/>
    <w:qFormat/>
    <w:uiPriority w:val="34"/>
    <w:pPr>
      <w:ind w:left="952" w:hanging="240"/>
    </w:pPr>
    <w:rPr>
      <w:rFonts w:ascii="宋体" w:hAnsi="宋体" w:cs="宋体"/>
    </w:rPr>
  </w:style>
  <w:style w:type="paragraph" w:customStyle="1" w:styleId="27">
    <w:name w:val="一级目录"/>
    <w:basedOn w:val="1"/>
    <w:qFormat/>
    <w:uiPriority w:val="0"/>
    <w:pPr>
      <w:spacing w:before="156" w:beforeLines="50" w:after="156" w:afterLines="50"/>
    </w:pPr>
    <w:rPr>
      <w:rFonts w:eastAsia="黑体"/>
    </w:rPr>
  </w:style>
  <w:style w:type="character" w:customStyle="1" w:styleId="28">
    <w:name w:val="标题 2 字符"/>
    <w:basedOn w:val="19"/>
    <w:link w:val="3"/>
    <w:qFormat/>
    <w:locked/>
    <w:uiPriority w:val="9"/>
    <w:rPr>
      <w:rFonts w:ascii="Arial" w:hAnsi="Arial" w:eastAsia="黑体" w:cs="Times New Roman"/>
      <w:b/>
      <w:bCs/>
      <w:kern w:val="2"/>
      <w:sz w:val="32"/>
      <w:szCs w:val="32"/>
    </w:rPr>
  </w:style>
  <w:style w:type="character" w:customStyle="1" w:styleId="29">
    <w:name w:val="页眉 字符"/>
    <w:basedOn w:val="19"/>
    <w:link w:val="12"/>
    <w:qFormat/>
    <w:locked/>
    <w:uiPriority w:val="99"/>
    <w:rPr>
      <w:rFonts w:cs="Times New Roman"/>
      <w:kern w:val="2"/>
      <w:sz w:val="18"/>
      <w:szCs w:val="18"/>
    </w:rPr>
  </w:style>
  <w:style w:type="character" w:customStyle="1" w:styleId="30">
    <w:name w:val="页脚 字符"/>
    <w:basedOn w:val="19"/>
    <w:link w:val="11"/>
    <w:qFormat/>
    <w:locked/>
    <w:uiPriority w:val="99"/>
    <w:rPr>
      <w:rFonts w:cs="Times New Roman"/>
      <w:kern w:val="2"/>
      <w:sz w:val="18"/>
      <w:szCs w:val="18"/>
    </w:rPr>
  </w:style>
  <w:style w:type="character" w:customStyle="1" w:styleId="31">
    <w:name w:val="日期 字符"/>
    <w:basedOn w:val="19"/>
    <w:link w:val="9"/>
    <w:qFormat/>
    <w:locked/>
    <w:uiPriority w:val="99"/>
    <w:rPr>
      <w:rFonts w:ascii="Calibri" w:hAnsi="Calibri" w:cs="Arial"/>
      <w:kern w:val="2"/>
      <w:sz w:val="22"/>
      <w:szCs w:val="22"/>
    </w:rPr>
  </w:style>
  <w:style w:type="character" w:customStyle="1" w:styleId="32">
    <w:name w:val="纯文本 字符"/>
    <w:basedOn w:val="19"/>
    <w:link w:val="8"/>
    <w:qFormat/>
    <w:locked/>
    <w:uiPriority w:val="99"/>
    <w:rPr>
      <w:rFonts w:ascii="宋体" w:cs="Times New Roman"/>
      <w:sz w:val="24"/>
      <w:szCs w:val="24"/>
    </w:rPr>
  </w:style>
  <w:style w:type="character" w:customStyle="1" w:styleId="33">
    <w:name w:val="批注框文本 字符"/>
    <w:basedOn w:val="19"/>
    <w:link w:val="10"/>
    <w:semiHidden/>
    <w:qFormat/>
    <w:uiPriority w:val="99"/>
    <w:rPr>
      <w:kern w:val="2"/>
      <w:sz w:val="18"/>
      <w:szCs w:val="18"/>
    </w:rPr>
  </w:style>
  <w:style w:type="character" w:customStyle="1" w:styleId="34">
    <w:name w:val="标题 1 字符"/>
    <w:basedOn w:val="19"/>
    <w:link w:val="2"/>
    <w:qFormat/>
    <w:uiPriority w:val="9"/>
    <w:rPr>
      <w:b/>
      <w:bCs/>
      <w:kern w:val="44"/>
      <w:sz w:val="44"/>
      <w:szCs w:val="44"/>
    </w:rPr>
  </w:style>
  <w:style w:type="character" w:customStyle="1" w:styleId="35">
    <w:name w:val="标题 字符"/>
    <w:basedOn w:val="19"/>
    <w:link w:val="14"/>
    <w:qFormat/>
    <w:uiPriority w:val="0"/>
    <w:rPr>
      <w:rFonts w:ascii="Cambria" w:hAnsi="Cambria"/>
      <w:b/>
      <w:bCs/>
      <w:sz w:val="32"/>
      <w:szCs w:val="32"/>
    </w:rPr>
  </w:style>
  <w:style w:type="character" w:customStyle="1" w:styleId="36">
    <w:name w:val="font01"/>
    <w:qFormat/>
    <w:uiPriority w:val="0"/>
    <w:rPr>
      <w:rFonts w:hint="eastAsia" w:ascii="宋体" w:hAnsi="宋体" w:eastAsia="宋体" w:cs="宋体"/>
      <w:color w:val="000000"/>
      <w:sz w:val="22"/>
      <w:szCs w:val="22"/>
      <w:u w:val="none"/>
    </w:rPr>
  </w:style>
  <w:style w:type="character" w:customStyle="1" w:styleId="37">
    <w:name w:val="正文文本缩进 字符"/>
    <w:basedOn w:val="19"/>
    <w:link w:val="6"/>
    <w:qFormat/>
    <w:uiPriority w:val="0"/>
    <w:rPr>
      <w:rFonts w:ascii="宋体" w:hAnsi="宋体"/>
      <w:kern w:val="2"/>
      <w:sz w:val="28"/>
      <w:szCs w:val="24"/>
    </w:rPr>
  </w:style>
  <w:style w:type="character" w:customStyle="1" w:styleId="38">
    <w:name w:val="正文文本 字符"/>
    <w:basedOn w:val="19"/>
    <w:link w:val="4"/>
    <w:qFormat/>
    <w:uiPriority w:val="0"/>
    <w:rPr>
      <w:b/>
      <w:bCs/>
      <w:sz w:val="24"/>
      <w:szCs w:val="24"/>
      <w:lang w:eastAsia="en-US"/>
    </w:rPr>
  </w:style>
  <w:style w:type="character" w:customStyle="1" w:styleId="39">
    <w:name w:val="未处理的提及1"/>
    <w:basedOn w:val="19"/>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1365</Words>
  <Characters>1525</Characters>
  <Lines>11</Lines>
  <Paragraphs>3</Paragraphs>
  <TotalTime>0</TotalTime>
  <ScaleCrop>false</ScaleCrop>
  <LinksUpToDate>false</LinksUpToDate>
  <CharactersWithSpaces>1554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2023-07-31T08:13:00Z</dcterms:created>
  <dc:creator>微软用户</dc:creator>
  <cp:lastModifiedBy>季烨霏</cp:lastModifiedBy>
  <cp:lastPrinted>2019-07-25T02:15:00Z</cp:lastPrinted>
  <dcterms:modified xsi:type="dcterms:W3CDTF">2026-03-25T08:14:28Z</dcterms:modified>
  <dc:title>远东复合技术有限公司一台分电机传动框绞机招标技术要求</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B30D2407D52749AA90E06E17A843B924</vt:lpwstr>
  </property>
  <property fmtid="{D5CDD505-2E9C-101B-9397-08002B2CF9AE}" pid="4" name="KSOTemplateDocerSaveRecord">
    <vt:lpwstr>eyJoZGlkIjoiN2RlODY0ZTk5ZDJjYTQ4MTZjMjVlOTYzYzRkYTVjMWQiLCJ1c2VySWQiOiI4MjI4NjQ5MTgifQ==</vt:lpwstr>
  </property>
</Properties>
</file>